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FD" w:rsidRPr="00557639" w:rsidRDefault="00900AFD">
      <w:pPr>
        <w:spacing w:after="0" w:line="408" w:lineRule="auto"/>
        <w:ind w:left="120"/>
        <w:jc w:val="center"/>
        <w:rPr>
          <w:lang w:val="ru-RU"/>
        </w:rPr>
      </w:pPr>
      <w:bookmarkStart w:id="0" w:name="block-21925603"/>
      <w:bookmarkEnd w:id="0"/>
      <w:r w:rsidRPr="005576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0AFD" w:rsidRPr="00557639" w:rsidRDefault="00900AFD">
      <w:pPr>
        <w:spacing w:after="0" w:line="408" w:lineRule="auto"/>
        <w:ind w:left="120"/>
        <w:jc w:val="center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bookmarkEnd w:id="1"/>
      <w:r w:rsidRPr="0055763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557639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557639">
        <w:rPr>
          <w:rFonts w:ascii="Times New Roman" w:hAnsi="Times New Roman"/>
          <w:b/>
          <w:color w:val="000000"/>
          <w:sz w:val="28"/>
          <w:lang w:val="ru-RU"/>
        </w:rPr>
        <w:t xml:space="preserve"> области‌‌</w:t>
      </w:r>
    </w:p>
    <w:p w:rsidR="00900AFD" w:rsidRPr="00557639" w:rsidRDefault="00900AFD">
      <w:pPr>
        <w:spacing w:after="0" w:line="408" w:lineRule="auto"/>
        <w:ind w:left="120"/>
        <w:jc w:val="center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0108ef9-761b-4d5f-b35a-43765278bc23"/>
      <w:bookmarkEnd w:id="2"/>
      <w:r w:rsidRPr="0055763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Ярославля‌</w:t>
      </w: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900AFD" w:rsidRPr="00557639" w:rsidRDefault="00900AFD" w:rsidP="0055763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900AFD" w:rsidRDefault="00900AFD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900AFD" w:rsidRPr="006F4ADD" w:rsidTr="000D4161">
        <w:tc>
          <w:tcPr>
            <w:tcW w:w="3114" w:type="dxa"/>
          </w:tcPr>
          <w:p w:rsidR="00900AFD" w:rsidRPr="006F4ADD" w:rsidRDefault="00900AFD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557639" w:rsidRDefault="00900AFD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Pr="006F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0AFD" w:rsidRPr="006F4ADD" w:rsidRDefault="00900A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0AFD" w:rsidRPr="006F4ADD" w:rsidRDefault="00900AFD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Золотарёва Е.В.</w:t>
            </w:r>
          </w:p>
          <w:p w:rsidR="00557639" w:rsidRDefault="00900AFD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00AFD" w:rsidRPr="006F4ADD" w:rsidRDefault="00900AFD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900AFD" w:rsidRPr="006F4ADD" w:rsidRDefault="00900A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0AFD" w:rsidRPr="006F4ADD" w:rsidRDefault="00900AF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0AFD" w:rsidRPr="006F4ADD" w:rsidRDefault="00900AF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00AFD" w:rsidRPr="006F4ADD" w:rsidRDefault="00900AF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0AFD" w:rsidRPr="006F4ADD" w:rsidRDefault="00900A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557639" w:rsidRDefault="00900AFD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03-03/156 </w:t>
            </w:r>
          </w:p>
          <w:p w:rsidR="00900AFD" w:rsidRPr="006F4ADD" w:rsidRDefault="00900AFD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4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900AFD" w:rsidRPr="006F4ADD" w:rsidRDefault="00900A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0AFD" w:rsidRDefault="00900AFD">
      <w:pPr>
        <w:spacing w:after="0"/>
        <w:ind w:left="120"/>
      </w:pPr>
    </w:p>
    <w:p w:rsidR="00900AFD" w:rsidRDefault="00900A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00AFD" w:rsidRDefault="00900AFD">
      <w:pPr>
        <w:spacing w:after="0"/>
        <w:ind w:left="120"/>
      </w:pPr>
    </w:p>
    <w:p w:rsidR="00900AFD" w:rsidRDefault="00900AFD">
      <w:pPr>
        <w:spacing w:after="0"/>
        <w:ind w:left="120"/>
      </w:pPr>
    </w:p>
    <w:p w:rsidR="00900AFD" w:rsidRDefault="00900AFD">
      <w:pPr>
        <w:spacing w:after="0"/>
        <w:ind w:left="120"/>
      </w:pPr>
    </w:p>
    <w:p w:rsidR="00900AFD" w:rsidRDefault="00900A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0AFD" w:rsidRDefault="00900A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2919854)</w:t>
      </w:r>
    </w:p>
    <w:p w:rsidR="00900AFD" w:rsidRDefault="00900AFD">
      <w:pPr>
        <w:spacing w:after="0"/>
        <w:ind w:left="120"/>
        <w:jc w:val="center"/>
      </w:pPr>
    </w:p>
    <w:p w:rsidR="00557639" w:rsidRDefault="00900A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557639">
        <w:rPr>
          <w:rFonts w:ascii="Times New Roman" w:hAnsi="Times New Roman"/>
          <w:b/>
          <w:color w:val="000000"/>
          <w:sz w:val="28"/>
          <w:lang w:val="ru-RU"/>
        </w:rPr>
        <w:t xml:space="preserve">курса </w:t>
      </w:r>
      <w:r w:rsidRPr="00557639">
        <w:rPr>
          <w:rFonts w:ascii="Times New Roman" w:hAnsi="Times New Roman"/>
          <w:b/>
          <w:color w:val="000000"/>
          <w:sz w:val="28"/>
          <w:lang w:val="ru-RU"/>
        </w:rPr>
        <w:t>«Геометрия</w:t>
      </w:r>
      <w:r w:rsidR="0055763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00AFD" w:rsidRPr="00557639" w:rsidRDefault="00900AFD">
      <w:pPr>
        <w:spacing w:after="0" w:line="408" w:lineRule="auto"/>
        <w:ind w:left="120"/>
        <w:jc w:val="center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Базовый уровень</w:t>
      </w:r>
    </w:p>
    <w:p w:rsidR="00900AFD" w:rsidRPr="00557639" w:rsidRDefault="00900AFD">
      <w:pPr>
        <w:spacing w:after="0" w:line="408" w:lineRule="auto"/>
        <w:ind w:left="120"/>
        <w:jc w:val="center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</w:p>
    <w:p w:rsidR="00900AFD" w:rsidRPr="00557639" w:rsidRDefault="00900AFD">
      <w:pPr>
        <w:spacing w:after="0"/>
        <w:ind w:left="120"/>
        <w:jc w:val="center"/>
        <w:rPr>
          <w:lang w:val="ru-RU"/>
        </w:rPr>
      </w:pP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bookmarkStart w:id="3" w:name="36d5ed29-4355-44c3-96c9-68a638030246"/>
      <w:bookmarkEnd w:id="3"/>
      <w:proofErr w:type="gramStart"/>
      <w:r w:rsidRPr="00557639">
        <w:rPr>
          <w:rFonts w:ascii="Times New Roman" w:hAnsi="Times New Roman"/>
          <w:b/>
          <w:color w:val="000000"/>
          <w:sz w:val="28"/>
          <w:lang w:val="ru-RU"/>
        </w:rPr>
        <w:t>город</w:t>
      </w:r>
      <w:proofErr w:type="gramEnd"/>
      <w:r w:rsidRPr="00557639">
        <w:rPr>
          <w:rFonts w:ascii="Times New Roman" w:hAnsi="Times New Roman"/>
          <w:b/>
          <w:color w:val="000000"/>
          <w:sz w:val="28"/>
          <w:lang w:val="ru-RU"/>
        </w:rPr>
        <w:t xml:space="preserve"> Ярославль‌</w:t>
      </w:r>
      <w:bookmarkStart w:id="4" w:name="6f91944c-d6af-4ef1-8ebb-72a7d3f52a1b"/>
      <w:bookmarkEnd w:id="4"/>
      <w:r w:rsidRPr="00557639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900AFD" w:rsidRPr="00557639" w:rsidRDefault="00900AFD">
      <w:pPr>
        <w:spacing w:after="0"/>
        <w:ind w:left="120"/>
        <w:rPr>
          <w:lang w:val="ru-RU"/>
        </w:rPr>
      </w:pPr>
    </w:p>
    <w:p w:rsidR="00900AFD" w:rsidRPr="00557639" w:rsidRDefault="00900AFD">
      <w:pPr>
        <w:rPr>
          <w:lang w:val="ru-RU"/>
        </w:rPr>
        <w:sectPr w:rsidR="00900AFD" w:rsidRPr="00557639">
          <w:pgSz w:w="11906" w:h="16383"/>
          <w:pgMar w:top="1134" w:right="850" w:bottom="1134" w:left="1701" w:header="720" w:footer="720" w:gutter="0"/>
          <w:cols w:space="720"/>
        </w:sect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5" w:name="block-21925602"/>
      <w:bookmarkEnd w:id="5"/>
      <w:r w:rsidRPr="005576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Логическое мышление, формируемое при изучении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обучающиеся на базовом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соответствующих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задач. Приоритетными задачами освоения курса «Геометрии» на базовом уровне в 10―11 классах являются: 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чертежах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, моделях и в реальном мире многогранники и тела вращения; 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изображениях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пространственных фигур; 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900AFD" w:rsidRPr="00557639" w:rsidRDefault="00900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организованная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55763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900AFD" w:rsidRPr="00557639" w:rsidRDefault="00900AFD">
      <w:pPr>
        <w:rPr>
          <w:lang w:val="ru-RU"/>
        </w:rPr>
        <w:sectPr w:rsidR="00900AFD" w:rsidRPr="00557639">
          <w:pgSz w:w="11906" w:h="16383"/>
          <w:pgMar w:top="1134" w:right="850" w:bottom="1134" w:left="1701" w:header="720" w:footer="720" w:gutter="0"/>
          <w:cols w:space="720"/>
        </w:sect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7" w:name="block-21925598"/>
      <w:bookmarkStart w:id="8" w:name="_Toc118726599"/>
      <w:bookmarkEnd w:id="7"/>
      <w:bookmarkEnd w:id="8"/>
      <w:r w:rsidRPr="005576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5576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7639">
        <w:rPr>
          <w:rFonts w:ascii="Times New Roman" w:hAnsi="Times New Roman"/>
          <w:b/>
          <w:color w:val="000000"/>
          <w:sz w:val="28"/>
          <w:lang w:val="ru-RU"/>
        </w:rPr>
        <w:t>Прямые</w:t>
      </w:r>
      <w:proofErr w:type="gramEnd"/>
      <w:r w:rsidRPr="00557639">
        <w:rPr>
          <w:rFonts w:ascii="Times New Roman" w:hAnsi="Times New Roman"/>
          <w:b/>
          <w:color w:val="000000"/>
          <w:sz w:val="28"/>
          <w:lang w:val="ru-RU"/>
        </w:rPr>
        <w:t xml:space="preserve"> и плоскости в пространстве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Параллельность прямых и плоскостей в пространстве: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параллельные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прямые в пространстве; параллельность трёх прямых; параллельность прямой и плоскости. Углы с </w:t>
      </w: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57639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557639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57639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5576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Прямоугольная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система </w:t>
      </w: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Координатно-векторный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метод при решении геометрических задач.</w:t>
      </w:r>
    </w:p>
    <w:p w:rsidR="00900AFD" w:rsidRPr="00557639" w:rsidRDefault="00900AFD">
      <w:pPr>
        <w:rPr>
          <w:lang w:val="ru-RU"/>
        </w:rPr>
        <w:sectPr w:rsidR="00900AFD" w:rsidRPr="00557639">
          <w:pgSz w:w="11906" w:h="16383"/>
          <w:pgMar w:top="1134" w:right="850" w:bottom="1134" w:left="1701" w:header="720" w:footer="720" w:gutter="0"/>
          <w:cols w:space="720"/>
        </w:sect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11" w:name="block-21925597"/>
      <w:bookmarkStart w:id="12" w:name="_Toc118726577"/>
      <w:bookmarkEnd w:id="11"/>
      <w:bookmarkEnd w:id="12"/>
      <w:r w:rsidRPr="005576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5576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00AFD" w:rsidRPr="00557639" w:rsidRDefault="00900AF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5763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  <w:proofErr w:type="gramEnd"/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576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5763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5763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1) </w:t>
      </w:r>
      <w:proofErr w:type="gramStart"/>
      <w:r w:rsidRPr="00557639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5576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5763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5763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57639">
        <w:rPr>
          <w:rFonts w:ascii="Times New Roman" w:hAnsi="Times New Roman"/>
          <w:color w:val="000000"/>
          <w:sz w:val="28"/>
          <w:lang w:val="ru-RU"/>
        </w:rPr>
        <w:t>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00AFD" w:rsidRPr="00557639" w:rsidRDefault="00900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00AFD" w:rsidRPr="00557639" w:rsidRDefault="00900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00AFD" w:rsidRPr="00557639" w:rsidRDefault="00900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00AFD" w:rsidRPr="00557639" w:rsidRDefault="00900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00AFD" w:rsidRPr="00557639" w:rsidRDefault="00900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900AFD" w:rsidRPr="00557639" w:rsidRDefault="00900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00AFD" w:rsidRPr="00557639" w:rsidRDefault="00900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00AFD" w:rsidRPr="00557639" w:rsidRDefault="00900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00AFD" w:rsidRPr="00557639" w:rsidRDefault="00900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0AFD" w:rsidRPr="00557639" w:rsidRDefault="00900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00AFD" w:rsidRPr="00557639" w:rsidRDefault="00900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для ответа на вопрос и для решения задачи;</w:t>
      </w:r>
    </w:p>
    <w:p w:rsidR="00900AFD" w:rsidRPr="00557639" w:rsidRDefault="00900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00AFD" w:rsidRPr="00557639" w:rsidRDefault="00900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00AFD" w:rsidRPr="00557639" w:rsidRDefault="00900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gramStart"/>
      <w:r w:rsidRPr="00557639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5576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5763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5763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00AFD" w:rsidRPr="00557639" w:rsidRDefault="00900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00AFD" w:rsidRPr="00557639" w:rsidRDefault="00900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00AFD" w:rsidRPr="00557639" w:rsidRDefault="00900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900AFD" w:rsidRPr="00557639" w:rsidRDefault="00900A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proofErr w:type="gramEnd"/>
    </w:p>
    <w:p w:rsidR="00900AFD" w:rsidRPr="00557639" w:rsidRDefault="00900A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gramStart"/>
      <w:r w:rsidRPr="00557639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5576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5763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5763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57639">
        <w:rPr>
          <w:rFonts w:ascii="Times New Roman" w:hAnsi="Times New Roman"/>
          <w:color w:val="000000"/>
          <w:sz w:val="28"/>
          <w:lang w:val="ru-RU"/>
        </w:rPr>
        <w:t>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00AFD" w:rsidRPr="00557639" w:rsidRDefault="00900AFD">
      <w:pPr>
        <w:numPr>
          <w:ilvl w:val="0"/>
          <w:numId w:val="7"/>
        </w:numPr>
        <w:spacing w:after="0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00AFD" w:rsidRDefault="00900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900AFD" w:rsidRPr="00557639" w:rsidRDefault="00900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00AFD" w:rsidRPr="00557639" w:rsidRDefault="00900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00AFD" w:rsidRPr="00557639" w:rsidRDefault="00900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5576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прямой, от точки до плоскости, между скрещивающимися прямыми.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Применять простейшие программные средства и электронно-коммуникационные системы при решении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стереометрических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0AFD" w:rsidRPr="00557639" w:rsidRDefault="00900AFD">
      <w:pPr>
        <w:spacing w:after="0" w:line="264" w:lineRule="auto"/>
        <w:ind w:left="120"/>
        <w:jc w:val="both"/>
        <w:rPr>
          <w:lang w:val="ru-RU"/>
        </w:rPr>
      </w:pP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  <w:proofErr w:type="gramEnd"/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  <w:proofErr w:type="gramEnd"/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 xml:space="preserve">Применять простейшие программные средства и электронно-коммуникационные системы при решении </w:t>
      </w:r>
      <w:proofErr w:type="gramStart"/>
      <w:r w:rsidRPr="00557639">
        <w:rPr>
          <w:rFonts w:ascii="Times New Roman" w:hAnsi="Times New Roman"/>
          <w:color w:val="000000"/>
          <w:sz w:val="28"/>
          <w:lang w:val="ru-RU"/>
        </w:rPr>
        <w:t>стереометрических</w:t>
      </w:r>
      <w:proofErr w:type="gram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900AFD" w:rsidRPr="00557639" w:rsidRDefault="00900AFD">
      <w:pPr>
        <w:spacing w:after="0" w:line="264" w:lineRule="auto"/>
        <w:ind w:firstLine="600"/>
        <w:jc w:val="both"/>
        <w:rPr>
          <w:lang w:val="ru-RU"/>
        </w:rPr>
      </w:pPr>
      <w:r w:rsidRPr="00557639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900AFD" w:rsidRPr="00557639" w:rsidRDefault="00900AFD">
      <w:pPr>
        <w:rPr>
          <w:lang w:val="ru-RU"/>
        </w:rPr>
        <w:sectPr w:rsidR="00900AFD" w:rsidRPr="00557639">
          <w:pgSz w:w="11906" w:h="16383"/>
          <w:pgMar w:top="1134" w:right="850" w:bottom="1134" w:left="1701" w:header="720" w:footer="720" w:gutter="0"/>
          <w:cols w:space="720"/>
        </w:sectPr>
      </w:pPr>
    </w:p>
    <w:p w:rsidR="00900AFD" w:rsidRDefault="00900AFD">
      <w:pPr>
        <w:spacing w:after="0"/>
        <w:ind w:left="120"/>
      </w:pPr>
      <w:bookmarkStart w:id="16" w:name="block-21925599"/>
      <w:bookmarkEnd w:id="16"/>
      <w:r w:rsidRPr="005576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0AFD" w:rsidRDefault="00900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73"/>
        <w:gridCol w:w="4738"/>
        <w:gridCol w:w="1491"/>
        <w:gridCol w:w="1841"/>
        <w:gridCol w:w="1910"/>
        <w:gridCol w:w="2568"/>
      </w:tblGrid>
      <w:tr w:rsidR="00900AFD" w:rsidRPr="006F4AD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0AFD" w:rsidRPr="006F4ADD" w:rsidRDefault="00900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0AFD" w:rsidRPr="006F4ADD" w:rsidRDefault="00900AF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0AFD" w:rsidRPr="006F4ADD" w:rsidRDefault="00900AFD"/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Прямые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плоскости в пространстве.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557639" w:rsidRDefault="00900AFD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0AFD" w:rsidRPr="00557639" w:rsidRDefault="00900AFD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0AFD" w:rsidRPr="00557639" w:rsidRDefault="00900AFD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/>
        </w:tc>
      </w:tr>
    </w:tbl>
    <w:p w:rsidR="00900AFD" w:rsidRDefault="00900AFD">
      <w:pPr>
        <w:sectPr w:rsidR="00900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0AFD" w:rsidRDefault="00900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79"/>
        <w:gridCol w:w="4532"/>
        <w:gridCol w:w="1598"/>
        <w:gridCol w:w="1841"/>
        <w:gridCol w:w="1910"/>
        <w:gridCol w:w="2757"/>
      </w:tblGrid>
      <w:tr w:rsidR="00900AFD" w:rsidRPr="006F4A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0AFD" w:rsidRPr="006F4ADD" w:rsidRDefault="00900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0AFD" w:rsidRPr="006F4ADD" w:rsidRDefault="00900AF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0AFD" w:rsidRPr="006F4ADD" w:rsidRDefault="00900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0AFD" w:rsidRPr="006F4ADD" w:rsidRDefault="00900AFD"/>
        </w:tc>
      </w:tr>
      <w:tr w:rsidR="00900AFD" w:rsidRPr="006F4A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0AFD" w:rsidRPr="00557639" w:rsidRDefault="00900AFD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</w:pPr>
          </w:p>
        </w:tc>
      </w:tr>
      <w:tr w:rsidR="00900AFD" w:rsidRPr="006F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0AFD" w:rsidRPr="00557639" w:rsidRDefault="00900AFD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0AFD" w:rsidRPr="006F4ADD" w:rsidRDefault="00900AFD"/>
        </w:tc>
      </w:tr>
    </w:tbl>
    <w:p w:rsidR="00900AFD" w:rsidRDefault="00900AFD">
      <w:pPr>
        <w:sectPr w:rsidR="00900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6EDB" w:rsidRDefault="00C56EDB" w:rsidP="00C56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56EDB" w:rsidRDefault="00C56EDB" w:rsidP="00C56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пространство. Правила изображения на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рисунках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многогранниками, изображение многогранников на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рисунках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Параллельность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</w:t>
            </w: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плоскости: тетраэдр, куб, 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"Прямые и плоскости в пространстве.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плоскости: перпендикулярные прямые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Элементы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Построение сечений в </w:t>
            </w: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от 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углов: между скрещивающимися прямыми, между прямой и плоскостью, </w:t>
            </w: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двугранных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/>
        </w:tc>
      </w:tr>
    </w:tbl>
    <w:p w:rsidR="00C56EDB" w:rsidRPr="00C56EDB" w:rsidRDefault="00C56EDB" w:rsidP="00C56EDB">
      <w:pPr>
        <w:rPr>
          <w:lang w:val="ru-RU"/>
        </w:rPr>
        <w:sectPr w:rsidR="00C56EDB" w:rsidRPr="00C56E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6EDB" w:rsidRDefault="00C56EDB" w:rsidP="00C56ED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4"/>
        <w:gridCol w:w="4414"/>
        <w:gridCol w:w="1263"/>
        <w:gridCol w:w="1841"/>
        <w:gridCol w:w="1910"/>
        <w:gridCol w:w="1347"/>
        <w:gridCol w:w="2221"/>
      </w:tblGrid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EDB" w:rsidRPr="006F4ADD" w:rsidRDefault="00C56EDB" w:rsidP="00C430E8"/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"Тела вращения" и "Объемы тел"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ADD"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координат в пространстве. Координаты вектора. Простейшие задачи в координатах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 при решении геометрических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"Векторы и координаты в пространстве"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</w:t>
            </w: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планиметрии и методы их решения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</w:pPr>
          </w:p>
        </w:tc>
      </w:tr>
      <w:tr w:rsidR="00C56EDB" w:rsidRPr="006F4ADD" w:rsidTr="00C43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EDB" w:rsidRPr="00557639" w:rsidRDefault="00C56EDB" w:rsidP="00C430E8">
            <w:pPr>
              <w:spacing w:after="0"/>
              <w:ind w:left="135"/>
              <w:rPr>
                <w:lang w:val="ru-RU"/>
              </w:rPr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55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>
            <w:pPr>
              <w:spacing w:after="0"/>
              <w:ind w:left="135"/>
              <w:jc w:val="center"/>
            </w:pPr>
            <w:r w:rsidRPr="006F4AD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EDB" w:rsidRPr="006F4ADD" w:rsidRDefault="00C56EDB" w:rsidP="00C430E8"/>
        </w:tc>
      </w:tr>
    </w:tbl>
    <w:p w:rsidR="00C56EDB" w:rsidRDefault="00C56EDB" w:rsidP="00C56EDB">
      <w:pPr>
        <w:spacing w:after="0"/>
      </w:pPr>
    </w:p>
    <w:p w:rsidR="00900AFD" w:rsidRDefault="00900AFD">
      <w:pPr>
        <w:rPr>
          <w:lang w:val="ru-RU"/>
        </w:rPr>
      </w:pPr>
    </w:p>
    <w:p w:rsidR="00791656" w:rsidRDefault="00791656" w:rsidP="0079165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91656" w:rsidRDefault="00791656" w:rsidP="0079165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557639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84bc9461-5945-455e-bb0e-0c5e149e6775"/>
      <w:bookmarkEnd w:id="17"/>
      <w:r w:rsidRPr="00557639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557639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57639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«Просвещение»‌</w:t>
      </w: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5576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557639">
        <w:rPr>
          <w:rFonts w:ascii="Times New Roman" w:hAnsi="Times New Roman"/>
          <w:color w:val="000000"/>
          <w:sz w:val="28"/>
          <w:lang w:val="ru-RU"/>
        </w:rPr>
        <w:t>‌‌</w:t>
      </w:r>
      <w:r w:rsidRPr="00557639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</w:p>
    <w:p w:rsidR="00791656" w:rsidRPr="00557639" w:rsidRDefault="00791656" w:rsidP="00791656">
      <w:pPr>
        <w:spacing w:after="0" w:line="240" w:lineRule="auto"/>
        <w:ind w:left="120"/>
        <w:rPr>
          <w:lang w:val="ru-RU"/>
        </w:rPr>
      </w:pPr>
      <w:r w:rsidRPr="005576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1656" w:rsidRDefault="00791656" w:rsidP="00791656">
      <w:pPr>
        <w:spacing w:after="0" w:line="240" w:lineRule="auto"/>
        <w:ind w:left="120"/>
      </w:pPr>
      <w:r>
        <w:rPr>
          <w:rFonts w:ascii="MS Mincho" w:eastAsia="MS Mincho" w:hAnsi="MS Mincho" w:cs="MS Mincho" w:hint="eastAsia"/>
          <w:color w:val="000000"/>
          <w:sz w:val="28"/>
        </w:rPr>
        <w:t>​</w:t>
      </w:r>
      <w:r>
        <w:rPr>
          <w:rFonts w:ascii="MS Mincho" w:eastAsia="MS Mincho" w:hAnsi="MS Mincho" w:cs="MS Mincho" w:hint="eastAsia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</w:t>
      </w:r>
      <w:bookmarkStart w:id="18" w:name="a38df3ac-bf82-4b9f-b5cd-98a1300f7f92"/>
      <w:bookmarkEnd w:id="18"/>
      <w:proofErr w:type="spellStart"/>
      <w:r>
        <w:rPr>
          <w:rFonts w:ascii="Times New Roman" w:hAnsi="Times New Roman"/>
          <w:color w:val="000000"/>
          <w:sz w:val="28"/>
        </w:rPr>
        <w:t>инфоурок.ру</w:t>
      </w:r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MS Mincho" w:eastAsia="MS Mincho" w:hAnsi="MS Mincho" w:cs="MS Mincho" w:hint="eastAsia"/>
          <w:color w:val="000000"/>
          <w:sz w:val="28"/>
        </w:rPr>
        <w:t>​</w:t>
      </w:r>
    </w:p>
    <w:p w:rsidR="00C56EDB" w:rsidRPr="00C56EDB" w:rsidRDefault="00C56EDB">
      <w:pPr>
        <w:rPr>
          <w:lang w:val="ru-RU"/>
        </w:rPr>
        <w:sectPr w:rsidR="00C56EDB" w:rsidRPr="00C56E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0AFD" w:rsidRDefault="00900AFD">
      <w:pPr>
        <w:sectPr w:rsidR="00900AF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21925600"/>
      <w:bookmarkEnd w:id="19"/>
    </w:p>
    <w:p w:rsidR="00900AFD" w:rsidRDefault="00900AFD">
      <w:pPr>
        <w:sectPr w:rsidR="00900A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0AFD" w:rsidRDefault="00900AFD">
      <w:pPr>
        <w:sectPr w:rsidR="00900AFD">
          <w:pgSz w:w="11906" w:h="16383"/>
          <w:pgMar w:top="1134" w:right="850" w:bottom="1134" w:left="1701" w:header="720" w:footer="720" w:gutter="0"/>
          <w:cols w:space="720"/>
        </w:sectPr>
      </w:pPr>
      <w:bookmarkStart w:id="20" w:name="block-21925601"/>
      <w:bookmarkEnd w:id="20"/>
    </w:p>
    <w:p w:rsidR="00900AFD" w:rsidRDefault="00900AFD"/>
    <w:sectPr w:rsidR="00900AFD" w:rsidSect="00C036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39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95633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585ED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4096E2A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DB114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E442A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3D500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90677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54"/>
    <w:rsid w:val="000A586C"/>
    <w:rsid w:val="000D4161"/>
    <w:rsid w:val="000E6D86"/>
    <w:rsid w:val="00344265"/>
    <w:rsid w:val="004E6975"/>
    <w:rsid w:val="00557639"/>
    <w:rsid w:val="006F4ADD"/>
    <w:rsid w:val="00791656"/>
    <w:rsid w:val="008610C7"/>
    <w:rsid w:val="0086502D"/>
    <w:rsid w:val="008944ED"/>
    <w:rsid w:val="00900AFD"/>
    <w:rsid w:val="0096040F"/>
    <w:rsid w:val="00C03654"/>
    <w:rsid w:val="00C53FFE"/>
    <w:rsid w:val="00C56EDB"/>
    <w:rsid w:val="00E2220E"/>
    <w:rsid w:val="00E40EB8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C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A586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86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586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586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8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586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586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586C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0A586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86C"/>
    <w:rPr>
      <w:rFonts w:cs="Times New Roman"/>
    </w:rPr>
  </w:style>
  <w:style w:type="paragraph" w:styleId="a5">
    <w:name w:val="Normal Indent"/>
    <w:basedOn w:val="a"/>
    <w:uiPriority w:val="99"/>
    <w:rsid w:val="000A586C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0A586C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A586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586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0A58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0A586C"/>
    <w:rPr>
      <w:rFonts w:cs="Times New Roman"/>
      <w:i/>
      <w:iCs/>
    </w:rPr>
  </w:style>
  <w:style w:type="character" w:styleId="ab">
    <w:name w:val="Hyperlink"/>
    <w:basedOn w:val="a0"/>
    <w:uiPriority w:val="99"/>
    <w:rsid w:val="00C0365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03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0A586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5456</Words>
  <Characters>31105</Characters>
  <Application>Microsoft Office Word</Application>
  <DocSecurity>0</DocSecurity>
  <Lines>259</Lines>
  <Paragraphs>72</Paragraphs>
  <ScaleCrop>false</ScaleCrop>
  <Company/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Пользователь Windows</cp:lastModifiedBy>
  <cp:revision>5</cp:revision>
  <dcterms:created xsi:type="dcterms:W3CDTF">2023-09-24T20:56:00Z</dcterms:created>
  <dcterms:modified xsi:type="dcterms:W3CDTF">2023-10-13T12:27:00Z</dcterms:modified>
</cp:coreProperties>
</file>