
<file path=[Content_Types].xml><?xml version="1.0" encoding="utf-8"?>
<Types xmlns="http://schemas.openxmlformats.org/package/2006/content-types">
  <Default ContentType="application/vnd.openxmlformats-officedocument.oleObject" Extension="bin"/>
  <Default ContentType="image/x-emf" Extension="emf"/>
  <Default ContentType="application/vnd.openxmlformats-package.relationships+xml" Extension="rels"/>
  <Default ContentType="application/xml" Extension="xml"/>
  <Default ContentType="application/vnd.openxmlformats-officedocument.spreadsheetml.sheet" Extension="xlsx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drawingml.chart+xml" PartName="/word/charts/chart1.xml"/>
  <Override ContentType="application/vnd.ms-office.chartstyle+xml" PartName="/word/charts/style1.xml"/>
  <Override ContentType="application/vnd.ms-office.chartcolorstyle+xml" PartName="/word/charts/colors1.xml"/>
  <Override ContentType="application/vnd.openxmlformats-officedocument.themeOverride+xml" PartName="/word/theme/themeOverride1.xml"/>
  <Override ContentType="application/vnd.openxmlformats-officedocument.drawingml.chart+xml" PartName="/word/charts/chart2.xml"/>
  <Override ContentType="application/vnd.openxmlformats-officedocument.themeOverride+xml" PartName="/word/theme/themeOverride2.xml"/>
  <Override ContentType="application/vnd.openxmlformats-officedocument.drawingml.chart+xml" PartName="/word/charts/chart3.xml"/>
  <Override ContentType="application/vnd.openxmlformats-officedocument.themeOverride+xml" PartName="/word/theme/themeOverride3.xml"/>
  <Override ContentType="application/vnd.openxmlformats-officedocument.drawingml.chart+xml" PartName="/word/charts/chart4.xml"/>
  <Override ContentType="application/vnd.openxmlformats-officedocument.themeOverride+xml" PartName="/word/theme/themeOverride4.xml"/>
  <Override ContentType="application/vnd.openxmlformats-officedocument.drawingml.chart+xml" PartName="/word/charts/chart5.xml"/>
  <Override ContentType="application/vnd.ms-office.chartstyle+xml" PartName="/word/charts/style2.xml"/>
  <Override ContentType="application/vnd.ms-office.chartcolorstyle+xml" PartName="/word/charts/colors2.xml"/>
  <Override ContentType="application/vnd.openxmlformats-officedocument.themeOverride+xml" PartName="/word/theme/themeOverride5.xml"/>
  <Override ContentType="application/vnd.openxmlformats-officedocument.drawingml.chartshapes+xml" PartName="/word/drawings/drawing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9B" w:rsidRPr="000D7B9B" w:rsidRDefault="00316A50" w:rsidP="000D7B9B">
      <w:pPr>
        <w:spacing w:after="20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0D7B9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0" cy="835342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9B" w:rsidRPr="000D7B9B" w:rsidRDefault="000D7B9B" w:rsidP="000D7B9B">
      <w:pPr>
        <w:spacing w:after="20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20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20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Анализ результатов самообследования</w:t>
      </w: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 деятельности муниципального общеобразовательного учреждения «Средняя школа № 66» г. Ярославля проводится в соответствии с Порядком о проведении самообследования образовательной организации, утвержденного приказом от 14.06.2013. № 462 «Об утверждении Порядка проведения самообследования образовательной организации», Приказом Министерства образования и науки Российской Федерации от 14.12.2017 № 1218 «О внесении изменений в порядок проведения самообследования образовательной организации, утверждённый приказом Министерства образования и науки Российской Федерации от 14июня 2013 г. № 462»</w:t>
      </w:r>
    </w:p>
    <w:p w:rsidR="000D7B9B" w:rsidRPr="000D7B9B" w:rsidRDefault="000D7B9B" w:rsidP="000D7B9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</w:pPr>
      <w:r w:rsidRPr="000D7B9B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t>Цел</w:t>
      </w:r>
      <w:r w:rsidRPr="000D7B9B">
        <w:rPr>
          <w:rFonts w:ascii="Times New Roman" w:eastAsia="Times New Roman" w:hAnsi="Times New Roman"/>
          <w:spacing w:val="2"/>
          <w:sz w:val="24"/>
          <w:szCs w:val="24"/>
          <w:lang w:eastAsia="x-none"/>
        </w:rPr>
        <w:t>ью</w:t>
      </w:r>
      <w:r w:rsidRPr="000D7B9B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t xml:space="preserve"> проведения самообследования явля</w:t>
      </w:r>
      <w:r w:rsidRPr="000D7B9B">
        <w:rPr>
          <w:rFonts w:ascii="Times New Roman" w:eastAsia="Times New Roman" w:hAnsi="Times New Roman"/>
          <w:spacing w:val="2"/>
          <w:sz w:val="24"/>
          <w:szCs w:val="24"/>
          <w:lang w:eastAsia="x-none"/>
        </w:rPr>
        <w:t>ется</w:t>
      </w:r>
      <w:r w:rsidRPr="000D7B9B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t xml:space="preserve"> обеспечение доступности и открытости информации о деятельности организации. </w:t>
      </w:r>
    </w:p>
    <w:p w:rsidR="000D7B9B" w:rsidRPr="000D7B9B" w:rsidRDefault="000D7B9B" w:rsidP="000D7B9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</w:pPr>
    </w:p>
    <w:p w:rsidR="000D7B9B" w:rsidRPr="000D7B9B" w:rsidRDefault="000D7B9B" w:rsidP="000D7B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Организационно-правовое обеспечение деятельности средней школы № 66</w:t>
      </w:r>
    </w:p>
    <w:p w:rsidR="000D7B9B" w:rsidRPr="000D7B9B" w:rsidRDefault="000D7B9B" w:rsidP="000D7B9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sz w:val="24"/>
          <w:szCs w:val="24"/>
          <w:lang w:eastAsia="ru-RU"/>
        </w:rPr>
        <w:t>Юридический адрес школы: 150030, г. Ярославль, ул. Суздальское шоссе, д. 15.</w:t>
      </w:r>
    </w:p>
    <w:p w:rsidR="000D7B9B" w:rsidRPr="000D7B9B" w:rsidRDefault="000D7B9B" w:rsidP="000D7B9B">
      <w:pPr>
        <w:spacing w:after="0" w:line="360" w:lineRule="auto"/>
        <w:ind w:left="12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Pr="000D7B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0D7B9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Pr="000D7B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Pr="000D7B9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yarsch</w:t>
        </w:r>
        <w:r w:rsidRPr="000D7B9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066@</w:t>
        </w:r>
        <w:r w:rsidRPr="000D7B9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yandex</w:t>
        </w:r>
        <w:r w:rsidRPr="000D7B9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0D7B9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</w:p>
    <w:p w:rsidR="000D7B9B" w:rsidRPr="000D7B9B" w:rsidRDefault="000D7B9B" w:rsidP="000D7B9B">
      <w:pPr>
        <w:spacing w:after="0" w:line="360" w:lineRule="auto"/>
        <w:ind w:left="12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сайт школы: </w:t>
      </w:r>
      <w:hyperlink r:id="rId7" w:history="1">
        <w:r w:rsidRPr="000D7B9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https://school66.edu.yar.ru</w:t>
        </w:r>
      </w:hyperlink>
    </w:p>
    <w:p w:rsidR="000D7B9B" w:rsidRPr="000D7B9B" w:rsidRDefault="000D7B9B" w:rsidP="000D7B9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sz w:val="24"/>
          <w:szCs w:val="24"/>
          <w:lang w:eastAsia="ru-RU"/>
        </w:rPr>
        <w:t>Учредитель школы - мэрия г. Ярославля в лице Департамента образования мэрии города Ярославля.</w:t>
      </w:r>
    </w:p>
    <w:p w:rsidR="000D7B9B" w:rsidRPr="000D7B9B" w:rsidRDefault="000D7B9B" w:rsidP="000D7B9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школы утвержден приказом департамента образования мэрии города Ярославля от 08.10.2015 № 01-05-792 </w:t>
      </w:r>
    </w:p>
    <w:p w:rsidR="000D7B9B" w:rsidRPr="000D7B9B" w:rsidRDefault="000D7B9B" w:rsidP="000D7B9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лицензия: регистрационный № 118/14 от 11 июня 2014 г. (срок действия лицензии -  бессрочно).</w:t>
      </w:r>
    </w:p>
    <w:p w:rsidR="000D7B9B" w:rsidRPr="000D7B9B" w:rsidRDefault="000D7B9B" w:rsidP="000D7B9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государственной аккредитации регистрационный № 71/15 от 30 апреля 2015 г. (Приказ Департамента образования Ярославской области №161/05-03 от 30 апреля 2015 г.) срок действия до 30 апреля 2027 года.</w:t>
      </w:r>
    </w:p>
    <w:p w:rsidR="000D7B9B" w:rsidRPr="000D7B9B" w:rsidRDefault="000D7B9B" w:rsidP="000D7B9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демократического, государственно-общественного управления образованием создан Управляющий Совет, утвержден состав избранных и назначенных членов Управляющего совета, в 2018 году состоялось 4 заседания Управляющего совета, в ходе которых были приняты важные решения для развития школы. Органами самоуправления также являются Педагогический Совет, Совет родителей, Совет обучающихся. </w:t>
      </w:r>
    </w:p>
    <w:p w:rsidR="000D7B9B" w:rsidRPr="000D7B9B" w:rsidRDefault="000D7B9B" w:rsidP="000D7B9B">
      <w:pPr>
        <w:spacing w:after="0" w:line="360" w:lineRule="auto"/>
        <w:ind w:left="12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360" w:lineRule="auto"/>
        <w:ind w:left="12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360" w:lineRule="auto"/>
        <w:ind w:left="12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B9B" w:rsidRPr="000D7B9B" w:rsidRDefault="000D7B9B" w:rsidP="000D7B9B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Результаты образовательной деятельности.</w:t>
      </w:r>
    </w:p>
    <w:p w:rsidR="000D7B9B" w:rsidRPr="000D7B9B" w:rsidRDefault="000D7B9B" w:rsidP="000D7B9B">
      <w:pPr>
        <w:spacing w:after="0" w:line="360" w:lineRule="auto"/>
        <w:ind w:left="92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контингента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145"/>
        <w:gridCol w:w="1034"/>
        <w:gridCol w:w="1289"/>
        <w:gridCol w:w="1293"/>
        <w:gridCol w:w="1289"/>
        <w:gridCol w:w="1293"/>
      </w:tblGrid>
      <w:tr w:rsidR="000D7B9B" w:rsidRPr="000D7B9B" w:rsidTr="000D7B9B">
        <w:tc>
          <w:tcPr>
            <w:tcW w:w="2060" w:type="dxa"/>
            <w:vMerge w:val="restart"/>
            <w:shd w:val="clear" w:color="auto" w:fill="auto"/>
          </w:tcPr>
          <w:p w:rsidR="000D7B9B" w:rsidRPr="000D7B9B" w:rsidRDefault="000D7B9B" w:rsidP="000D7B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13" w:type="dxa"/>
            <w:gridSpan w:val="2"/>
            <w:shd w:val="clear" w:color="auto" w:fill="auto"/>
          </w:tcPr>
          <w:p w:rsidR="000D7B9B" w:rsidRPr="000D7B9B" w:rsidRDefault="000D7B9B" w:rsidP="000D7B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На 31.12.2017</w:t>
            </w:r>
          </w:p>
        </w:tc>
        <w:tc>
          <w:tcPr>
            <w:tcW w:w="2649" w:type="dxa"/>
            <w:gridSpan w:val="2"/>
            <w:shd w:val="clear" w:color="auto" w:fill="auto"/>
          </w:tcPr>
          <w:p w:rsidR="000D7B9B" w:rsidRPr="000D7B9B" w:rsidRDefault="000D7B9B" w:rsidP="000D7B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На 31.12.2018</w:t>
            </w:r>
          </w:p>
        </w:tc>
        <w:tc>
          <w:tcPr>
            <w:tcW w:w="2649" w:type="dxa"/>
            <w:gridSpan w:val="2"/>
            <w:shd w:val="clear" w:color="auto" w:fill="auto"/>
          </w:tcPr>
          <w:p w:rsidR="000D7B9B" w:rsidRPr="000D7B9B" w:rsidRDefault="000D7B9B" w:rsidP="000D7B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На 31.12.2019</w:t>
            </w:r>
          </w:p>
        </w:tc>
      </w:tr>
      <w:tr w:rsidR="000D7B9B" w:rsidRPr="000D7B9B" w:rsidTr="000D7B9B">
        <w:tc>
          <w:tcPr>
            <w:tcW w:w="2060" w:type="dxa"/>
            <w:vMerge/>
            <w:shd w:val="clear" w:color="auto" w:fill="auto"/>
          </w:tcPr>
          <w:p w:rsidR="000D7B9B" w:rsidRPr="000D7B9B" w:rsidRDefault="000D7B9B" w:rsidP="000D7B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0D7B9B" w:rsidRPr="000D7B9B" w:rsidRDefault="000D7B9B" w:rsidP="000D7B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Кол-во классов</w:t>
            </w:r>
          </w:p>
        </w:tc>
        <w:tc>
          <w:tcPr>
            <w:tcW w:w="1046" w:type="dxa"/>
            <w:shd w:val="clear" w:color="auto" w:fill="auto"/>
          </w:tcPr>
          <w:p w:rsidR="000D7B9B" w:rsidRPr="000D7B9B" w:rsidRDefault="000D7B9B" w:rsidP="000D7B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Кол-во человек</w:t>
            </w:r>
          </w:p>
        </w:tc>
        <w:tc>
          <w:tcPr>
            <w:tcW w:w="1323" w:type="dxa"/>
            <w:shd w:val="clear" w:color="auto" w:fill="auto"/>
          </w:tcPr>
          <w:p w:rsidR="000D7B9B" w:rsidRPr="000D7B9B" w:rsidRDefault="000D7B9B" w:rsidP="000D7B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Кол-во классов</w:t>
            </w:r>
          </w:p>
        </w:tc>
        <w:tc>
          <w:tcPr>
            <w:tcW w:w="1326" w:type="dxa"/>
            <w:shd w:val="clear" w:color="auto" w:fill="auto"/>
          </w:tcPr>
          <w:p w:rsidR="000D7B9B" w:rsidRPr="000D7B9B" w:rsidRDefault="000D7B9B" w:rsidP="000D7B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Кол-во человек</w:t>
            </w:r>
          </w:p>
        </w:tc>
        <w:tc>
          <w:tcPr>
            <w:tcW w:w="1323" w:type="dxa"/>
            <w:shd w:val="clear" w:color="auto" w:fill="auto"/>
          </w:tcPr>
          <w:p w:rsidR="000D7B9B" w:rsidRPr="000D7B9B" w:rsidRDefault="000D7B9B" w:rsidP="000D7B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Кол-во классов</w:t>
            </w:r>
          </w:p>
        </w:tc>
        <w:tc>
          <w:tcPr>
            <w:tcW w:w="1326" w:type="dxa"/>
            <w:shd w:val="clear" w:color="auto" w:fill="auto"/>
          </w:tcPr>
          <w:p w:rsidR="000D7B9B" w:rsidRPr="000D7B9B" w:rsidRDefault="000D7B9B" w:rsidP="000D7B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Кол-во человек</w:t>
            </w:r>
          </w:p>
        </w:tc>
      </w:tr>
      <w:tr w:rsidR="000D7B9B" w:rsidRPr="000D7B9B" w:rsidTr="000D7B9B">
        <w:tc>
          <w:tcPr>
            <w:tcW w:w="2060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167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248</w:t>
            </w:r>
          </w:p>
        </w:tc>
        <w:tc>
          <w:tcPr>
            <w:tcW w:w="1323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326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323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326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257</w:t>
            </w:r>
          </w:p>
        </w:tc>
      </w:tr>
      <w:tr w:rsidR="000D7B9B" w:rsidRPr="000D7B9B" w:rsidTr="000D7B9B">
        <w:tc>
          <w:tcPr>
            <w:tcW w:w="2060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167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046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236</w:t>
            </w:r>
          </w:p>
        </w:tc>
        <w:tc>
          <w:tcPr>
            <w:tcW w:w="1323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326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230</w:t>
            </w:r>
          </w:p>
        </w:tc>
        <w:tc>
          <w:tcPr>
            <w:tcW w:w="1323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326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230</w:t>
            </w:r>
          </w:p>
        </w:tc>
      </w:tr>
      <w:tr w:rsidR="000D7B9B" w:rsidRPr="000D7B9B" w:rsidTr="000D7B9B">
        <w:tc>
          <w:tcPr>
            <w:tcW w:w="2060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 xml:space="preserve">Среднее общее образование </w:t>
            </w:r>
          </w:p>
        </w:tc>
        <w:tc>
          <w:tcPr>
            <w:tcW w:w="1167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323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47</w:t>
            </w:r>
          </w:p>
        </w:tc>
        <w:tc>
          <w:tcPr>
            <w:tcW w:w="1323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45</w:t>
            </w:r>
          </w:p>
        </w:tc>
      </w:tr>
      <w:tr w:rsidR="000D7B9B" w:rsidRPr="000D7B9B" w:rsidTr="000D7B9B">
        <w:tc>
          <w:tcPr>
            <w:tcW w:w="2060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 xml:space="preserve">Всего </w:t>
            </w:r>
          </w:p>
        </w:tc>
        <w:tc>
          <w:tcPr>
            <w:tcW w:w="1167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505</w:t>
            </w:r>
          </w:p>
        </w:tc>
        <w:tc>
          <w:tcPr>
            <w:tcW w:w="1323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326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521</w:t>
            </w:r>
          </w:p>
        </w:tc>
        <w:tc>
          <w:tcPr>
            <w:tcW w:w="1323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326" w:type="dxa"/>
            <w:shd w:val="clear" w:color="auto" w:fill="auto"/>
          </w:tcPr>
          <w:p w:rsidR="000D7B9B" w:rsidRPr="000D7B9B" w:rsidRDefault="000D7B9B" w:rsidP="000D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532</w:t>
            </w:r>
          </w:p>
        </w:tc>
      </w:tr>
    </w:tbl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sz w:val="24"/>
          <w:szCs w:val="24"/>
          <w:lang w:eastAsia="ru-RU"/>
        </w:rPr>
        <w:t xml:space="preserve">В 2018-2019 учебном году в средней школе № 66 численный контингент обучающихся составил 532 человек, успешно окончили учебный год 522 человек, что составило 98,1% (1 обучающихся из 1 класса оставлен на повторное обучение, 2 обучающихся 3 класса оставлены на повторное обучение, 1 обучающийся из 8 класса оставлен на повторный год обучения). </w:t>
      </w: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sz w:val="24"/>
          <w:szCs w:val="24"/>
          <w:lang w:eastAsia="ru-RU"/>
        </w:rPr>
        <w:t xml:space="preserve">50 обучающихся 9-х классов успешно прошли государственную итоговую аттестацию и получили аттестат об основном общем образовании, 1 обучающаяся 9 класса получила аттестат с отличием. </w:t>
      </w:r>
    </w:p>
    <w:p w:rsidR="000D7B9B" w:rsidRPr="000D7B9B" w:rsidRDefault="00316A50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11159" distB="12683" distL="125523" distR="127809" simplePos="0" relativeHeight="251658240" behindDoc="0" locked="0" layoutInCell="1" allowOverlap="1">
            <wp:simplePos x="0" y="0"/>
            <wp:positionH relativeFrom="column">
              <wp:posOffset>1115441</wp:posOffset>
            </wp:positionH>
            <wp:positionV relativeFrom="paragraph">
              <wp:posOffset>136906</wp:posOffset>
            </wp:positionV>
            <wp:extent cx="3844290" cy="2278380"/>
            <wp:effectExtent l="0" t="0" r="0" b="0"/>
            <wp:wrapSquare wrapText="bothSides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B9B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целом процент успеваемости довольно высокий - 98%.  Качество знаний в целом составляет более 68%. Отлично закончили учебный год – 56 учащихся, на «4» и «5» - 98 обучающихся, с одной «3» - 23 обучающихся. По сравнению с прошлым учебным годом наблюдается незначительное повышение процента качества знаний.  </w:t>
      </w: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 w:rsidRPr="000D7B9B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Начальное общее образование.</w:t>
      </w:r>
    </w:p>
    <w:p w:rsidR="000D7B9B" w:rsidRPr="000D7B9B" w:rsidRDefault="000D7B9B" w:rsidP="000D7B9B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D7B9B">
        <w:rPr>
          <w:rFonts w:ascii="Times New Roman" w:eastAsia="Times New Roman" w:hAnsi="Times New Roman"/>
          <w:bCs/>
          <w:sz w:val="24"/>
          <w:szCs w:val="28"/>
          <w:lang w:eastAsia="ru-RU"/>
        </w:rPr>
        <w:t>Учащиеся 1-4 классов и к занимаются в режиме пятидневной учебной недели, образовательный процесс осуществляется в две смены. О</w:t>
      </w:r>
      <w:r w:rsidRPr="000D7B9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бучение ведется по следующим </w:t>
      </w:r>
      <w:r w:rsidRPr="000D7B9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 xml:space="preserve">образовательным программам «Начальная школа 21 век», «Школа 2100» и «Планета знаний», </w:t>
      </w:r>
      <w:r w:rsidRPr="000D7B9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имеются группы продленного дня, где дети могут находится с 10.00 до 16.00. </w:t>
      </w:r>
    </w:p>
    <w:p w:rsidR="000D7B9B" w:rsidRPr="000D7B9B" w:rsidRDefault="000D7B9B" w:rsidP="000D7B9B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0D7B9B">
        <w:rPr>
          <w:rFonts w:ascii="Times New Roman" w:eastAsia="Times New Roman" w:hAnsi="Times New Roman"/>
          <w:bCs/>
          <w:sz w:val="24"/>
          <w:szCs w:val="28"/>
          <w:lang w:eastAsia="ru-RU"/>
        </w:rPr>
        <w:t>Деятельность учителей начальных классов направленна на реализацию ФГОС посредством организации учебного процесса на основе системно-деятельностного метода обучения, внедрения в учебный процесс новых образовательных технологий, через систему повышения квалификации и самообразование.</w:t>
      </w:r>
    </w:p>
    <w:p w:rsidR="000D7B9B" w:rsidRPr="000D7B9B" w:rsidRDefault="000D7B9B" w:rsidP="000D7B9B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0D7B9B">
        <w:rPr>
          <w:rFonts w:ascii="Times New Roman" w:eastAsia="Times New Roman" w:hAnsi="Times New Roman"/>
          <w:bCs/>
          <w:sz w:val="24"/>
          <w:szCs w:val="28"/>
          <w:lang w:eastAsia="ru-RU"/>
        </w:rPr>
        <w:t>На основании анализа выполненных комплексных работ, ВПР можно сделать вывод о сформированности предметных умений и навыков у учащихся 4-х классов.</w:t>
      </w:r>
    </w:p>
    <w:p w:rsidR="000D7B9B" w:rsidRPr="000D7B9B" w:rsidRDefault="00316A50" w:rsidP="000D7B9B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0D7B9B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7B9B" w:rsidRPr="000D7B9B" w:rsidRDefault="000D7B9B" w:rsidP="000D7B9B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D7B9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За последние три учебных года количество «отличников» выросло, «хорошистов» выросло, и окончивших год с одной «3» практически не изменилось.</w:t>
      </w: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 w:rsidRPr="000D7B9B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Основное общее образование.</w:t>
      </w:r>
    </w:p>
    <w:p w:rsidR="000D7B9B" w:rsidRPr="000D7B9B" w:rsidRDefault="000D7B9B" w:rsidP="000D7B9B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7B9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Учащиеся 5-9 классов и к занимаются в режиме шестидневной учебной недели, за исключением классов для детей с особыми образовательными потребностями, 6-ые классы обучаются во вторую смену. На уровне основного общего образования 5-8 классы обучаются по </w:t>
      </w:r>
      <w:r w:rsidRPr="000D7B9B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Федеральным государственным образовательным стандартам, 9 класс по Базисному учебному плану. В классах для детей с ограниченными возможностями здоровья (</w:t>
      </w:r>
      <w:r w:rsidRPr="000D7B9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</w:t>
      </w:r>
      <w:r w:rsidRPr="000D7B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вид) обучение ведется по адаптированной образовательной программе.</w:t>
      </w:r>
      <w:r w:rsidRPr="000D7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D7B9B" w:rsidRPr="000D7B9B" w:rsidRDefault="000D7B9B" w:rsidP="000D7B9B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color w:val="FF0000"/>
          <w:sz w:val="24"/>
          <w:szCs w:val="28"/>
          <w:lang w:eastAsia="ru-RU"/>
        </w:rPr>
      </w:pPr>
      <w:r w:rsidRPr="000D7B9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При получении основного общего образования в 9 классе в рамках предпрофильной подготовки ведутся курсы по выбору в соответствии с запросами, выявленными в результате анкетирования обучающихся и родителей (законных представителей). </w:t>
      </w:r>
    </w:p>
    <w:p w:rsidR="000D7B9B" w:rsidRPr="000D7B9B" w:rsidRDefault="00316A50" w:rsidP="000D7B9B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B9B">
        <w:rPr>
          <w:rFonts w:ascii="Times New Roman" w:eastAsia="Times New Roman" w:hAnsi="Times New Roman"/>
          <w:noProof/>
          <w:lang w:eastAsia="ru-RU"/>
        </w:rPr>
        <w:lastRenderedPageBreak/>
        <w:drawing>
          <wp:inline distT="0" distB="0" distL="0" distR="0">
            <wp:extent cx="5495925" cy="32004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7B9B" w:rsidRPr="000D7B9B" w:rsidRDefault="000D7B9B" w:rsidP="000D7B9B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D7B9B">
        <w:rPr>
          <w:rFonts w:ascii="Times New Roman" w:eastAsia="Times New Roman" w:hAnsi="Times New Roman"/>
          <w:sz w:val="24"/>
          <w:szCs w:val="28"/>
          <w:lang w:eastAsia="ru-RU"/>
        </w:rPr>
        <w:t xml:space="preserve">В результате анализа можно отметить, что показатели за последние три года улучшаются, возрастает количество обучающихся заканчивающий год на «4» и «5». </w:t>
      </w:r>
    </w:p>
    <w:p w:rsidR="000D7B9B" w:rsidRPr="000D7B9B" w:rsidRDefault="000D7B9B" w:rsidP="000D7B9B">
      <w:pPr>
        <w:spacing w:after="0" w:line="360" w:lineRule="auto"/>
        <w:ind w:firstLine="360"/>
        <w:jc w:val="both"/>
        <w:rPr>
          <w:rFonts w:ascii="Times New Roman" w:eastAsia="Times New Roman" w:hAnsi="Times New Roman"/>
          <w:spacing w:val="4"/>
          <w:sz w:val="24"/>
          <w:szCs w:val="28"/>
          <w:lang w:eastAsia="ru-RU"/>
        </w:rPr>
      </w:pPr>
      <w:r w:rsidRPr="000D7B9B">
        <w:rPr>
          <w:rFonts w:ascii="Times New Roman" w:eastAsia="Times New Roman" w:hAnsi="Times New Roman"/>
          <w:spacing w:val="-6"/>
          <w:sz w:val="24"/>
          <w:szCs w:val="28"/>
          <w:lang w:eastAsia="ru-RU"/>
        </w:rPr>
        <w:t>По результатам государственной итоговой аттестации 9-х классов</w:t>
      </w:r>
      <w:r w:rsidRPr="000D7B9B">
        <w:rPr>
          <w:rFonts w:ascii="Times New Roman" w:eastAsia="Times New Roman" w:hAnsi="Times New Roman"/>
          <w:spacing w:val="-5"/>
          <w:sz w:val="24"/>
          <w:szCs w:val="28"/>
          <w:lang w:eastAsia="ru-RU"/>
        </w:rPr>
        <w:t xml:space="preserve"> обучающиеся в основном под</w:t>
      </w:r>
      <w:r w:rsidRPr="000D7B9B">
        <w:rPr>
          <w:rFonts w:ascii="Times New Roman" w:eastAsia="Times New Roman" w:hAnsi="Times New Roman"/>
          <w:spacing w:val="-5"/>
          <w:sz w:val="24"/>
          <w:szCs w:val="28"/>
          <w:lang w:eastAsia="ru-RU"/>
        </w:rPr>
        <w:softHyphen/>
        <w:t>твердили годовую оценку или повысили ее, что объясняется ответствен</w:t>
      </w:r>
      <w:r w:rsidRPr="000D7B9B">
        <w:rPr>
          <w:rFonts w:ascii="Times New Roman" w:eastAsia="Times New Roman" w:hAnsi="Times New Roman"/>
          <w:spacing w:val="-5"/>
          <w:sz w:val="24"/>
          <w:szCs w:val="28"/>
          <w:lang w:eastAsia="ru-RU"/>
        </w:rPr>
        <w:softHyphen/>
      </w:r>
      <w:r w:rsidRPr="000D7B9B">
        <w:rPr>
          <w:rFonts w:ascii="Times New Roman" w:eastAsia="Times New Roman" w:hAnsi="Times New Roman"/>
          <w:spacing w:val="-6"/>
          <w:sz w:val="24"/>
          <w:szCs w:val="28"/>
          <w:lang w:eastAsia="ru-RU"/>
        </w:rPr>
        <w:t>ным отношением к подготовке к экзаменам учителей и обучающихся. По окончанию 9 класса 30% выпускников продолжили обучение в 10 классе нашей школы.</w:t>
      </w:r>
    </w:p>
    <w:p w:rsidR="000D7B9B" w:rsidRPr="000D7B9B" w:rsidRDefault="000D7B9B" w:rsidP="000D7B9B">
      <w:pPr>
        <w:spacing w:after="0" w:line="360" w:lineRule="auto"/>
        <w:ind w:firstLine="360"/>
        <w:jc w:val="both"/>
        <w:rPr>
          <w:rFonts w:ascii="Times New Roman" w:eastAsia="Times New Roman" w:hAnsi="Times New Roman"/>
          <w:b/>
          <w:i/>
          <w:spacing w:val="-6"/>
          <w:sz w:val="24"/>
          <w:szCs w:val="28"/>
          <w:lang w:eastAsia="ru-RU"/>
        </w:rPr>
      </w:pPr>
      <w:r w:rsidRPr="000D7B9B">
        <w:rPr>
          <w:rFonts w:ascii="Times New Roman" w:eastAsia="Times New Roman" w:hAnsi="Times New Roman"/>
          <w:b/>
          <w:i/>
          <w:spacing w:val="-6"/>
          <w:sz w:val="24"/>
          <w:szCs w:val="28"/>
          <w:lang w:eastAsia="ru-RU"/>
        </w:rPr>
        <w:t>Основное среднее образование.</w:t>
      </w:r>
    </w:p>
    <w:p w:rsidR="000D7B9B" w:rsidRPr="000D7B9B" w:rsidRDefault="000D7B9B" w:rsidP="000D7B9B">
      <w:pPr>
        <w:spacing w:after="0" w:line="360" w:lineRule="auto"/>
        <w:ind w:firstLine="36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D7B9B">
        <w:rPr>
          <w:rFonts w:ascii="Times New Roman" w:eastAsia="Times New Roman" w:hAnsi="Times New Roman"/>
          <w:spacing w:val="-6"/>
          <w:sz w:val="24"/>
          <w:szCs w:val="28"/>
          <w:lang w:eastAsia="ru-RU"/>
        </w:rPr>
        <w:t>В этом году средняя школа № 66 вновь открыла классы старшей школы, система работы в которых ориентирована на создание условий, обеспечивающих подготовку выпускников к дальнейшему профессиональному образованию. Составной частью учебного плана являются не только образовательные предметы, но и элективные учебные предметы, позволяющие удовлетворить интересы учащихся в различных сферах человеческой деятельности.</w:t>
      </w: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360" w:lineRule="auto"/>
        <w:ind w:left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3.Кадровые ресурсы.</w:t>
      </w: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 школы хорошо владеют теоретическими и практическими основами преподаваемых предметов, методиками и современными педагогическими технологиями, позволяющими обучающимся овладевать знаниями и умениями на базовом уровне, учиться эффективно, работать самостоятельно и в сотрудничестве с учителем. </w:t>
      </w: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sz w:val="24"/>
          <w:szCs w:val="24"/>
          <w:lang w:eastAsia="ru-RU"/>
        </w:rPr>
        <w:t>Общая численность педагогических работников - 38 (из них 3 внешних совместителя, 4 члена администрации, которые преподают предметы согласно профилю их образования).</w:t>
      </w: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sz w:val="24"/>
          <w:szCs w:val="24"/>
          <w:lang w:eastAsia="ru-RU"/>
        </w:rPr>
        <w:t>Школа имеет высококвалифицированный педагогический коллектив.</w:t>
      </w:r>
    </w:p>
    <w:p w:rsidR="000D7B9B" w:rsidRPr="000D7B9B" w:rsidRDefault="00316A50" w:rsidP="000D7B9B">
      <w:pPr>
        <w:spacing w:after="0" w:line="360" w:lineRule="auto"/>
        <w:ind w:left="-993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B9B"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3160395" cy="2080895"/>
            <wp:effectExtent l="0" t="0" r="0" b="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 w:bidi="he-IL"/>
        </w:rPr>
      </w:pPr>
      <w:r w:rsidRPr="000D7B9B">
        <w:rPr>
          <w:rFonts w:ascii="Times New Roman" w:eastAsia="Times New Roman" w:hAnsi="Times New Roman"/>
          <w:sz w:val="24"/>
          <w:szCs w:val="28"/>
          <w:lang w:eastAsia="ru-RU"/>
        </w:rPr>
        <w:t xml:space="preserve">Более 92% педагогов имеют высшее профильное образование, более половины педагогов аттестованы на высшую и первую квалификационные категории, средний возраст педагогического состава - 45 лет, 10% об общей численности педагогов молодые специалисты. </w:t>
      </w:r>
      <w:r w:rsidRPr="000D7B9B">
        <w:rPr>
          <w:rFonts w:ascii="Times New Roman" w:eastAsia="Times New Roman" w:hAnsi="Times New Roman"/>
          <w:sz w:val="24"/>
          <w:szCs w:val="28"/>
          <w:lang w:eastAsia="ru-RU" w:bidi="he-IL"/>
        </w:rPr>
        <w:t>Педагоги имеют следующие награды: знак «Почетный работник общего образования РФ» - 2 педагога; Почетная грамота Министерства образования и науки РФ - 7 педагогов; Почетная грамота Департамента образования Ярославской области - 13 педагогов.</w:t>
      </w:r>
    </w:p>
    <w:p w:rsidR="000D7B9B" w:rsidRPr="000D7B9B" w:rsidRDefault="00316A50" w:rsidP="000D7B9B">
      <w:pPr>
        <w:spacing w:after="0" w:line="360" w:lineRule="auto"/>
        <w:ind w:left="-99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10401" distB="12179" distL="145861" distR="123169" simplePos="0" relativeHeight="251657216" behindDoc="0" locked="0" layoutInCell="1" allowOverlap="1">
            <wp:simplePos x="0" y="0"/>
            <wp:positionH relativeFrom="column">
              <wp:posOffset>1355598</wp:posOffset>
            </wp:positionH>
            <wp:positionV relativeFrom="paragraph">
              <wp:posOffset>63246</wp:posOffset>
            </wp:positionV>
            <wp:extent cx="3317875" cy="1936750"/>
            <wp:effectExtent l="38100" t="0" r="0" b="0"/>
            <wp:wrapSquare wrapText="bothSides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B9B" w:rsidRPr="000D7B9B" w:rsidRDefault="000D7B9B" w:rsidP="000D7B9B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D7B9B">
        <w:rPr>
          <w:rFonts w:ascii="Times New Roman" w:eastAsia="Times New Roman" w:hAnsi="Times New Roman"/>
          <w:sz w:val="24"/>
          <w:szCs w:val="28"/>
          <w:lang w:eastAsia="ru-RU"/>
        </w:rPr>
        <w:t>В 2019 году 11 педагогов обучались на курсах повышения квалификации ИРО и ГЦРО, семинарах и конференциях по различной тематике в рамках ФГОС и преподаваемых предметов.</w:t>
      </w:r>
    </w:p>
    <w:p w:rsidR="000D7B9B" w:rsidRPr="000D7B9B" w:rsidRDefault="000D7B9B" w:rsidP="000D7B9B">
      <w:pPr>
        <w:widowControl w:val="0"/>
        <w:tabs>
          <w:tab w:val="left" w:pos="900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/>
          <w:b/>
          <w:bCs/>
          <w:i/>
          <w:kern w:val="1"/>
          <w:sz w:val="28"/>
          <w:szCs w:val="28"/>
          <w:shd w:val="clear" w:color="auto" w:fill="FFFFFF"/>
          <w:lang w:eastAsia="hi-IN" w:bidi="hi-IN"/>
        </w:rPr>
      </w:pPr>
    </w:p>
    <w:p w:rsidR="000D7B9B" w:rsidRPr="000D7B9B" w:rsidRDefault="000D7B9B" w:rsidP="000D7B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color w:val="000000"/>
          <w:sz w:val="24"/>
          <w:szCs w:val="28"/>
          <w:lang w:eastAsia="ru-RU"/>
        </w:rPr>
      </w:pPr>
      <w:r w:rsidRPr="000D7B9B">
        <w:rPr>
          <w:rFonts w:ascii="Times New Roman" w:hAnsi="Times New Roman"/>
          <w:b/>
          <w:bCs/>
          <w:i/>
          <w:color w:val="000000"/>
          <w:sz w:val="24"/>
          <w:szCs w:val="28"/>
          <w:lang w:eastAsia="ru-RU"/>
        </w:rPr>
        <w:t>4. Воспитательная работа.</w:t>
      </w:r>
    </w:p>
    <w:p w:rsidR="000D7B9B" w:rsidRPr="000D7B9B" w:rsidRDefault="000D7B9B" w:rsidP="000D7B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0D7B9B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Целью воспитательной работы обучающихся является социально-педагогическая поддержка развития и воспитания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 </w:t>
      </w:r>
    </w:p>
    <w:p w:rsidR="000D7B9B" w:rsidRPr="000D7B9B" w:rsidRDefault="000D7B9B" w:rsidP="000D7B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0D7B9B">
        <w:rPr>
          <w:rFonts w:ascii="Times New Roman" w:hAnsi="Times New Roman"/>
          <w:color w:val="000000"/>
          <w:sz w:val="24"/>
          <w:szCs w:val="28"/>
          <w:lang w:eastAsia="ru-RU"/>
        </w:rPr>
        <w:lastRenderedPageBreak/>
        <w:t xml:space="preserve">Воспитательная работа школы выстраивается по таким направлениям как: гражданско-патриотическое, духовно-нравственное, спортивно-оздоровительное, работа с родителями, профилактика правонарушений. </w:t>
      </w:r>
    </w:p>
    <w:p w:rsidR="000D7B9B" w:rsidRPr="000D7B9B" w:rsidRDefault="000D7B9B" w:rsidP="000D7B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0D7B9B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Одним из приоритетных направлений воспитательной системы школы является духовно-нравственное воспитание, развитие творческих и интеллектуальных способностей учащихся. </w:t>
      </w:r>
    </w:p>
    <w:p w:rsidR="000D7B9B" w:rsidRPr="000D7B9B" w:rsidRDefault="000D7B9B" w:rsidP="000D7B9B">
      <w:pPr>
        <w:widowControl w:val="0"/>
        <w:tabs>
          <w:tab w:val="left" w:pos="900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/>
          <w:b/>
          <w:bCs/>
          <w:i/>
          <w:kern w:val="1"/>
          <w:sz w:val="24"/>
          <w:szCs w:val="28"/>
          <w:shd w:val="clear" w:color="auto" w:fill="FFFFFF"/>
          <w:lang w:eastAsia="hi-IN" w:bidi="hi-IN"/>
        </w:rPr>
      </w:pPr>
      <w:r w:rsidRPr="000D7B9B">
        <w:rPr>
          <w:rFonts w:ascii="Times New Roman" w:eastAsia="Times New Roman" w:hAnsi="Times New Roman"/>
          <w:sz w:val="24"/>
          <w:szCs w:val="28"/>
          <w:lang w:eastAsia="ru-RU"/>
        </w:rPr>
        <w:t>Воспитательные задачи решаются через традиционные общешкольные события и работу внутришкольного дополнительного образования.</w:t>
      </w:r>
    </w:p>
    <w:p w:rsidR="000D7B9B" w:rsidRPr="000D7B9B" w:rsidRDefault="000D7B9B" w:rsidP="000D7B9B">
      <w:pPr>
        <w:widowControl w:val="0"/>
        <w:tabs>
          <w:tab w:val="left" w:pos="900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/>
          <w:bCs/>
          <w:kern w:val="1"/>
          <w:sz w:val="24"/>
          <w:szCs w:val="28"/>
          <w:shd w:val="clear" w:color="auto" w:fill="FFFFFF"/>
          <w:lang w:eastAsia="hi-IN" w:bidi="hi-IN"/>
        </w:rPr>
      </w:pPr>
      <w:r w:rsidRPr="000D7B9B">
        <w:rPr>
          <w:rFonts w:ascii="Times New Roman" w:eastAsia="SimSun" w:hAnsi="Times New Roman"/>
          <w:bCs/>
          <w:kern w:val="1"/>
          <w:sz w:val="24"/>
          <w:szCs w:val="28"/>
          <w:shd w:val="clear" w:color="auto" w:fill="FFFFFF"/>
          <w:lang w:eastAsia="hi-IN" w:bidi="hi-IN"/>
        </w:rPr>
        <w:t xml:space="preserve">В 2019 году обучающиеся принимали активное участие во множестве различных мероприятий, конкурсов, олимпиад, викторин, научно-практических конференций многие, из которых для детей стали результативными, обучающиеся были награждены дипломами и грамотами различного уровня.  </w:t>
      </w:r>
    </w:p>
    <w:p w:rsidR="000D7B9B" w:rsidRPr="000D7B9B" w:rsidRDefault="000D7B9B" w:rsidP="000D7B9B">
      <w:pPr>
        <w:widowControl w:val="0"/>
        <w:tabs>
          <w:tab w:val="left" w:pos="900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/>
          <w:bCs/>
          <w:kern w:val="1"/>
          <w:sz w:val="24"/>
          <w:szCs w:val="28"/>
          <w:shd w:val="clear" w:color="auto" w:fill="FFFFFF"/>
          <w:lang w:eastAsia="hi-IN" w:bidi="hi-IN"/>
        </w:rPr>
      </w:pPr>
    </w:p>
    <w:p w:rsidR="000D7B9B" w:rsidRPr="000D7B9B" w:rsidRDefault="000D7B9B" w:rsidP="000D7B9B">
      <w:pPr>
        <w:widowControl w:val="0"/>
        <w:tabs>
          <w:tab w:val="left" w:pos="900"/>
        </w:tabs>
        <w:suppressAutoHyphens/>
        <w:spacing w:after="0" w:line="360" w:lineRule="auto"/>
        <w:jc w:val="center"/>
        <w:rPr>
          <w:rFonts w:ascii="Times New Roman" w:eastAsia="SimSun" w:hAnsi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0D7B9B">
        <w:rPr>
          <w:rFonts w:ascii="Times New Roman" w:eastAsia="SimSun" w:hAnsi="Times New Roman"/>
          <w:b/>
          <w:bCs/>
          <w:i/>
          <w:kern w:val="1"/>
          <w:sz w:val="28"/>
          <w:szCs w:val="28"/>
          <w:shd w:val="clear" w:color="auto" w:fill="FFFFFF"/>
          <w:lang w:eastAsia="hi-IN" w:bidi="hi-IN"/>
        </w:rPr>
        <w:t>5. Материально-техническая база школы.</w:t>
      </w: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8"/>
          <w:lang w:eastAsia="hi-IN" w:bidi="hi-IN"/>
        </w:rPr>
      </w:pPr>
      <w:r w:rsidRPr="000D7B9B">
        <w:rPr>
          <w:rFonts w:ascii="Times New Roman" w:eastAsia="SimSun" w:hAnsi="Times New Roman"/>
          <w:bCs/>
          <w:kern w:val="1"/>
          <w:sz w:val="24"/>
          <w:szCs w:val="28"/>
          <w:lang w:eastAsia="hi-IN" w:bidi="hi-IN"/>
        </w:rPr>
        <w:t xml:space="preserve">Немаловажную роль в обеспечении современного образовательного процесса имеет техническое оснащение школы. Характеристика этого направления позволяет говорить о создании необходимых условий для полной реализации учебного плана. </w:t>
      </w:r>
      <w:r w:rsidRPr="000D7B9B">
        <w:rPr>
          <w:rFonts w:ascii="Times New Roman" w:eastAsia="SimSun" w:hAnsi="Times New Roman"/>
          <w:kern w:val="1"/>
          <w:sz w:val="24"/>
          <w:szCs w:val="28"/>
          <w:lang w:eastAsia="hi-IN" w:bidi="hi-IN"/>
        </w:rPr>
        <w:t xml:space="preserve">Преподавание всех учебных дисциплин полностью обеспечено учебниками. Все учебные кабинеты оборудованы персональными компьютерами, из них оборудованы мультимедийными проекторами – 94% (16 кабинетов), интерактивными досками - 53% (9 кабинетов). </w:t>
      </w: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8"/>
          <w:lang w:eastAsia="hi-IN" w:bidi="hi-IN"/>
        </w:rPr>
      </w:pPr>
      <w:r w:rsidRPr="000D7B9B">
        <w:rPr>
          <w:rFonts w:ascii="Times New Roman" w:eastAsia="SimSun" w:hAnsi="Times New Roman"/>
          <w:kern w:val="1"/>
          <w:sz w:val="24"/>
          <w:szCs w:val="28"/>
          <w:lang w:eastAsia="hi-IN" w:bidi="hi-IN"/>
        </w:rPr>
        <w:t xml:space="preserve">В школе имеется собственная библиотека с небольшим читальным залом, в котором имеется </w:t>
      </w:r>
      <w:r w:rsidRPr="000D7B9B">
        <w:rPr>
          <w:rFonts w:ascii="Times New Roman" w:eastAsia="SimSun" w:hAnsi="Times New Roman"/>
          <w:kern w:val="1"/>
          <w:sz w:val="24"/>
          <w:szCs w:val="28"/>
          <w:shd w:val="clear" w:color="auto" w:fill="FFFFFF"/>
          <w:lang w:eastAsia="hi-IN" w:bidi="hi-IN"/>
        </w:rPr>
        <w:t>3</w:t>
      </w:r>
      <w:r w:rsidRPr="000D7B9B">
        <w:rPr>
          <w:rFonts w:ascii="Times New Roman" w:eastAsia="SimSun" w:hAnsi="Times New Roman"/>
          <w:kern w:val="1"/>
          <w:sz w:val="24"/>
          <w:szCs w:val="28"/>
          <w:lang w:eastAsia="hi-IN" w:bidi="hi-IN"/>
        </w:rPr>
        <w:t xml:space="preserve"> компьютера с подключением к сети Интернет и школьной локальной сети для работы обучающихся и педагогов. Востребованность библиотечного фонда и информационной базы высокая. Обучающиеся имеют возможность расширять свой кругозор, выполнять проекты.</w:t>
      </w: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color w:val="FF0000"/>
          <w:kern w:val="1"/>
          <w:sz w:val="24"/>
          <w:szCs w:val="28"/>
          <w:lang w:eastAsia="hi-IN" w:bidi="hi-IN"/>
        </w:rPr>
      </w:pPr>
      <w:r w:rsidRPr="000D7B9B">
        <w:rPr>
          <w:rFonts w:ascii="Times New Roman" w:eastAsia="SimSun" w:hAnsi="Times New Roman"/>
          <w:kern w:val="1"/>
          <w:sz w:val="24"/>
          <w:szCs w:val="28"/>
          <w:lang w:eastAsia="hi-IN" w:bidi="hi-IN"/>
        </w:rPr>
        <w:t xml:space="preserve">Анализ материально-технической базы школы позволяет отметить, что санитарно-гигиенические и материально-технические условия соответствуют целям и задачам образовательного процесса, но требует дополнительной модернизации и оптимизации. </w:t>
      </w:r>
      <w:r w:rsidRPr="000D7B9B">
        <w:rPr>
          <w:rFonts w:ascii="Times New Roman" w:eastAsia="SimSun" w:hAnsi="Times New Roman"/>
          <w:color w:val="FF0000"/>
          <w:kern w:val="1"/>
          <w:sz w:val="24"/>
          <w:szCs w:val="28"/>
          <w:lang w:eastAsia="hi-IN" w:bidi="hi-IN"/>
        </w:rPr>
        <w:t xml:space="preserve"> </w:t>
      </w: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</w:pP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left="-142" w:firstLine="142"/>
        <w:jc w:val="center"/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</w:pPr>
      <w:r w:rsidRPr="000D7B9B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6. Инновационная деятельность.</w:t>
      </w: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8"/>
          <w:lang w:eastAsia="hi-IN" w:bidi="hi-IN"/>
        </w:rPr>
      </w:pPr>
      <w:r w:rsidRPr="000D7B9B">
        <w:rPr>
          <w:rFonts w:ascii="Times New Roman" w:eastAsia="SimSun" w:hAnsi="Times New Roman"/>
          <w:kern w:val="1"/>
          <w:sz w:val="24"/>
          <w:szCs w:val="28"/>
          <w:lang w:eastAsia="hi-IN" w:bidi="hi-IN"/>
        </w:rPr>
        <w:t xml:space="preserve">С 2016 года средняя школа № 66 является муниципальным ресурсным центром по обучению юных медиаторов. В рамках РИП проходит множество мероприятий и семинаров, направленных на вовлечение обучающихся, родителей и педагогов в область урегулирования конфликтов. В осенние каникулы 2018 года был организован школьный лагерь, в котором дети из 12 различных школ города и области учились искусству </w:t>
      </w:r>
      <w:r w:rsidRPr="000D7B9B">
        <w:rPr>
          <w:rFonts w:ascii="Times New Roman" w:eastAsia="SimSun" w:hAnsi="Times New Roman"/>
          <w:kern w:val="1"/>
          <w:sz w:val="24"/>
          <w:szCs w:val="28"/>
          <w:lang w:eastAsia="hi-IN" w:bidi="hi-IN"/>
        </w:rPr>
        <w:lastRenderedPageBreak/>
        <w:t xml:space="preserve">медиатора. В течение года неоднократно проводились встречи «юных медиаторов» с целью методической поддержки и контроля их деятельности. За отчетный период в рамках работы РИП прошли обучение по основам школьной медиации практически все учителя средней школы № 66, а также учителя других школ города и родители. За отчетный период было отмечено что конфликтогенная обстановка в школе изменилась в положительную сторону, количество конфликтов сократилось, обучающиеся с развитой конфликтологической компетенцией принимают активное участие в разрешении конфликтных ситуаций. </w:t>
      </w:r>
    </w:p>
    <w:p w:rsidR="000D7B9B" w:rsidRPr="000D7B9B" w:rsidRDefault="000D7B9B" w:rsidP="000D7B9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 «</w:t>
      </w:r>
      <w:proofErr w:type="spellStart"/>
      <w:r w:rsidRPr="000D7B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begin"/>
      </w:r>
      <w:r w:rsidRPr="000D7B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instrText xml:space="preserve"> HYPERLINK "http://sch.litres.ru/" \t "_blank" </w:instrText>
      </w:r>
      <w:r w:rsidRPr="000D7B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separate"/>
      </w:r>
      <w:r w:rsidRPr="000D7B9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ЛитРес</w:t>
      </w:r>
      <w:proofErr w:type="spellEnd"/>
      <w:r w:rsidRPr="000D7B9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: Школа</w:t>
      </w:r>
      <w:r w:rsidRPr="000D7B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end"/>
      </w:r>
      <w:r w:rsidRPr="000D7B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разработан на базе «</w:t>
      </w:r>
      <w:proofErr w:type="spellStart"/>
      <w:r w:rsidRPr="000D7B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ЛитРес</w:t>
      </w:r>
      <w:proofErr w:type="spellEnd"/>
      <w:r w:rsidRPr="000D7B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 Библиотеки» и позволяет школьной библиотеке, подключенной к проекту, выдавать электронные книги прямо на устройства читателей.</w:t>
      </w:r>
    </w:p>
    <w:p w:rsidR="000D7B9B" w:rsidRPr="000D7B9B" w:rsidRDefault="000D7B9B" w:rsidP="000D7B9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получают бесплатный доступ к электронным книгам школьной программы и современной литературе разных жанров для детей и подростков. Главное достоинство системы — быстрое получения книг в любом месте, где есть Интернет. А также удобное чтение на любых устройствах: на компьютере, ноутбуке, планшете или смартфоне (в том числе в режиме «офлайн»).</w:t>
      </w: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0D7B9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Деятельность ИБЦ способствует организации дистанционной поддержки обучения, в этом направлении помогает опыт школы в организации и проведении вебинаров, видеоконференций, дистанционных уроков на областном и всероссийском уровнях.</w:t>
      </w: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0D7B9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Функционирование ИБЦ позволит улучшить формирование метапредметных результатов обучающихся и развитию компетентности в области использования информационно-коммуникационных технологий.</w:t>
      </w: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D7B9B" w:rsidRPr="000D7B9B" w:rsidRDefault="000D7B9B" w:rsidP="000D7B9B">
      <w:pPr>
        <w:widowControl w:val="0"/>
        <w:suppressAutoHyphens/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деятельности средней школы № 66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6954"/>
        <w:gridCol w:w="1625"/>
      </w:tblGrid>
      <w:tr w:rsidR="000D7B9B" w:rsidRPr="000D7B9B" w:rsidTr="000D7B9B">
        <w:tc>
          <w:tcPr>
            <w:tcW w:w="426" w:type="pct"/>
            <w:vAlign w:val="center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N п/п</w:t>
            </w:r>
          </w:p>
        </w:tc>
        <w:tc>
          <w:tcPr>
            <w:tcW w:w="3835" w:type="pct"/>
            <w:vAlign w:val="center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739" w:type="pct"/>
            <w:vAlign w:val="center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Единица измерения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Образовательная деятельность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Общая численность учащихся на 31.12.2019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532 человек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257 человек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230 человек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45 человек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1.5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145 человек/ 30%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8 баллов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13 баллов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1.8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0 баллов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1.9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0 баллов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1.10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0 человек/ 0 %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1.11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0 человек/ 0%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1.12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0 человек/ 0%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1.13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0 человек/ 0%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1.14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 человек/ 0%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1.15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0 человек/ 0%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1.16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 человек/ 0%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1.17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0 человек/ 0%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1.18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186человек/ 35%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1.19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75 человек/ </w:t>
            </w:r>
          </w:p>
          <w:p w:rsidR="000D7B9B" w:rsidRPr="000D7B9B" w:rsidRDefault="000D7B9B" w:rsidP="000D7B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14 %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1.19.1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Регионального уровня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8 человек/ 2,1%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1.19.2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Федерального уровня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0 человек/ 0 %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1.19.3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Международного уровня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4 человек/ 1,5%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1.20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0 человек/ 0%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1.21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0 человек/ 0%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1.22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27 человек/ 6%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1.23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0 человек/ 0%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1.24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36 человек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1.25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33 человек/ 92,6 %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1.26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35 человек/ 97,2%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1.27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3 человека/ 7%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1.28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3 человек/ 7%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1.29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19 человек/ 52,7%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1.29.1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9 человек/ 25%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1.29.2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Первая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11 человек/ 28%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1.30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1.30.1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До 5 лет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5 человек/ 13,9%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1.30.2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Свыше 30 лет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10 человек/ 27,8%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1.31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8 человек/ 22,2 %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1.32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9 человек/ 27,8 %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1.33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33 человек/ 94 %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1.34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31 человек/ 86,1%</w:t>
            </w:r>
          </w:p>
        </w:tc>
      </w:tr>
      <w:tr w:rsidR="000D7B9B" w:rsidRPr="000D7B9B" w:rsidTr="000D7B9B">
        <w:tc>
          <w:tcPr>
            <w:tcW w:w="426" w:type="pct"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1.35</w:t>
            </w:r>
          </w:p>
        </w:tc>
        <w:tc>
          <w:tcPr>
            <w:tcW w:w="3835" w:type="pct"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административных работников, занимающихся педагогической деятельностью, в том числе:</w:t>
            </w:r>
          </w:p>
        </w:tc>
        <w:tc>
          <w:tcPr>
            <w:tcW w:w="739" w:type="pct"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4 человека</w:t>
            </w:r>
          </w:p>
        </w:tc>
      </w:tr>
      <w:tr w:rsidR="000D7B9B" w:rsidRPr="000D7B9B" w:rsidTr="000D7B9B">
        <w:tc>
          <w:tcPr>
            <w:tcW w:w="426" w:type="pct"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1.36</w:t>
            </w:r>
          </w:p>
        </w:tc>
        <w:tc>
          <w:tcPr>
            <w:tcW w:w="3835" w:type="pct"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Имеют высшее образование</w:t>
            </w:r>
          </w:p>
        </w:tc>
        <w:tc>
          <w:tcPr>
            <w:tcW w:w="739" w:type="pct"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4 человека/100%</w:t>
            </w:r>
          </w:p>
        </w:tc>
      </w:tr>
      <w:tr w:rsidR="000D7B9B" w:rsidRPr="000D7B9B" w:rsidTr="000D7B9B">
        <w:tc>
          <w:tcPr>
            <w:tcW w:w="426" w:type="pct"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1.37</w:t>
            </w:r>
          </w:p>
        </w:tc>
        <w:tc>
          <w:tcPr>
            <w:tcW w:w="3835" w:type="pct"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Имеют высшую категорию</w:t>
            </w:r>
          </w:p>
        </w:tc>
        <w:tc>
          <w:tcPr>
            <w:tcW w:w="739" w:type="pct"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 чел. / 50%</w:t>
            </w:r>
          </w:p>
        </w:tc>
      </w:tr>
      <w:tr w:rsidR="000D7B9B" w:rsidRPr="000D7B9B" w:rsidTr="000D7B9B">
        <w:tc>
          <w:tcPr>
            <w:tcW w:w="426" w:type="pct"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1.37</w:t>
            </w:r>
          </w:p>
        </w:tc>
        <w:tc>
          <w:tcPr>
            <w:tcW w:w="3835" w:type="pct"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Имеют первую категорию</w:t>
            </w:r>
          </w:p>
        </w:tc>
        <w:tc>
          <w:tcPr>
            <w:tcW w:w="739" w:type="pct"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 чел. /50%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Инфраструктура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0,09 единиц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12,8 единиц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2.4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2.4.1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2.4.2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</w:t>
            </w:r>
            <w:proofErr w:type="spellStart"/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медиатекой</w:t>
            </w:r>
            <w:proofErr w:type="spellEnd"/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2.4.3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2.4.5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2.5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532 человек/ 100%</w:t>
            </w:r>
          </w:p>
        </w:tc>
      </w:tr>
      <w:tr w:rsidR="000D7B9B" w:rsidRPr="000D7B9B" w:rsidTr="000D7B9B">
        <w:tc>
          <w:tcPr>
            <w:tcW w:w="426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2.6</w:t>
            </w:r>
          </w:p>
        </w:tc>
        <w:tc>
          <w:tcPr>
            <w:tcW w:w="3835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739" w:type="pct"/>
            <w:hideMark/>
          </w:tcPr>
          <w:p w:rsidR="000D7B9B" w:rsidRPr="000D7B9B" w:rsidRDefault="000D7B9B" w:rsidP="000D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B9B">
              <w:rPr>
                <w:rFonts w:ascii="Times New Roman" w:eastAsia="Times New Roman" w:hAnsi="Times New Roman"/>
                <w:color w:val="000000"/>
                <w:lang w:eastAsia="ru-RU"/>
              </w:rPr>
              <w:t>2,2 кв. м</w:t>
            </w:r>
          </w:p>
        </w:tc>
      </w:tr>
    </w:tbl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0D7B9B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7B9B" w:rsidRPr="000D7B9B" w:rsidRDefault="00316A50" w:rsidP="000D7B9B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7B9B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1725" cy="87534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4C0" w:rsidRDefault="009A04C0"/>
    <w:sectPr w:rsidR="009A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91B2D"/>
    <w:multiLevelType w:val="multilevel"/>
    <w:tmpl w:val="70D4D8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9B"/>
    <w:rsid w:val="000D7B9B"/>
    <w:rsid w:val="00316A50"/>
    <w:rsid w:val="00875873"/>
    <w:rsid w:val="009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AFFB21-23FC-4345-81AC-83218DA2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charts/chart1.xml" Type="http://schemas.openxmlformats.org/officeDocument/2006/relationships/chart"/><Relationship Id="rId13" Target="media/image2.jpeg" Type="http://schemas.openxmlformats.org/officeDocument/2006/relationships/image"/><Relationship Id="rId3" Target="settings.xml" Type="http://schemas.openxmlformats.org/officeDocument/2006/relationships/settings"/><Relationship Id="rId7" Target="https://school66.edu.yar.ru" TargetMode="External" Type="http://schemas.openxmlformats.org/officeDocument/2006/relationships/hyperlink"/><Relationship Id="rId12" Target="charts/chart5.xml" Type="http://schemas.openxmlformats.org/officeDocument/2006/relationships/chart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ailto:yarsch066@yandex.ru" TargetMode="External" Type="http://schemas.openxmlformats.org/officeDocument/2006/relationships/hyperlink"/><Relationship Id="rId11" Target="charts/chart4.xml" Type="http://schemas.openxmlformats.org/officeDocument/2006/relationships/chart"/><Relationship Id="rId5" Target="media/image1.png" Type="http://schemas.openxmlformats.org/officeDocument/2006/relationships/image"/><Relationship Id="rId15" Target="theme/theme1.xml" Type="http://schemas.openxmlformats.org/officeDocument/2006/relationships/theme"/><Relationship Id="rId10" Target="charts/chart3.xml" Type="http://schemas.openxmlformats.org/officeDocument/2006/relationships/chart"/><Relationship Id="rId4" Target="webSettings.xml" Type="http://schemas.openxmlformats.org/officeDocument/2006/relationships/webSettings"/><Relationship Id="rId9" Target="charts/chart2.xml" Type="http://schemas.openxmlformats.org/officeDocument/2006/relationships/chart"/><Relationship Id="rId14" Target="fontTable.xml" Type="http://schemas.openxmlformats.org/officeDocument/2006/relationships/fontTable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Schi66new\Desktop\&#1059;&#1042;&#1056;\&#1057;&#1054;&#1052;&#1054;&#1054;&#1041;&#1057;&#1051;&#1045;&#1044;&#1054;&#1042;&#1040;&#1053;&#1048;&#1045;\2016-2017\2018%20&#1075;&#1086;&#1076;\&#1051;&#1080;&#1089;&#1090;%20Microsoft%20Excel.xlsx" TargetMode="External"/></Relationships>
</file>

<file path=word/charts/_rels/chart2.xml.rels><?xml version="1.0" encoding="UTF-8" standalone="yes" ?><Relationships xmlns="http://schemas.openxmlformats.org/package/2006/relationships"><Relationship Id="rId2" Target="NULL" TargetMode="External" Type="http://schemas.openxmlformats.org/officeDocument/2006/relationships/oleObject"/><Relationship Id="rId1" Target="../theme/themeOverride2.xml" Type="http://schemas.openxmlformats.org/officeDocument/2006/relationships/themeOverride"/></Relationships>
</file>

<file path=word/charts/_rels/chart3.xml.rels><?xml version="1.0" encoding="UTF-8" standalone="yes" ?><Relationships xmlns="http://schemas.openxmlformats.org/package/2006/relationships"><Relationship Id="rId2" Target="NULL" TargetMode="External" Type="http://schemas.openxmlformats.org/officeDocument/2006/relationships/oleObject"/><Relationship Id="rId1" Target="../theme/themeOverride3.xml" Type="http://schemas.openxmlformats.org/officeDocument/2006/relationships/themeOverride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Schi66new\Desktop\&#1059;&#1042;&#1056;\&#1057;&#1054;&#1052;&#1054;&#1054;&#1041;&#1057;&#1051;&#1045;&#1044;&#1054;&#1042;&#1040;&#1053;&#1048;&#1045;\2016-2017\2018%20&#1075;&#1086;&#1076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</a:t>
            </a:r>
            <a:r>
              <a:rPr lang="ru-RU" baseline="0"/>
              <a:t> успеваемости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Sheet1!$B$18:$B$20</c:f>
              <c:strCache>
                <c:ptCount val="3"/>
                <c:pt idx="0">
                  <c:v>"Отлично"</c:v>
                </c:pt>
                <c:pt idx="1">
                  <c:v>"Хорошо"</c:v>
                </c:pt>
                <c:pt idx="2">
                  <c:v> С одной "3"</c:v>
                </c:pt>
              </c:strCache>
            </c:strRef>
          </c:cat>
          <c:val>
            <c:numRef>
              <c:f>Sheet1!$C$18:$C$20</c:f>
              <c:numCache>
                <c:formatCode>0.00%</c:formatCode>
                <c:ptCount val="3"/>
                <c:pt idx="0">
                  <c:v>8.5000000000000006E-2</c:v>
                </c:pt>
                <c:pt idx="1">
                  <c:v>0.20799999999999999</c:v>
                </c:pt>
                <c:pt idx="2">
                  <c:v>3.7999999999999999E-2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Начальная школа</a:t>
            </a:r>
          </a:p>
        </c:rich>
      </c:tx>
      <c:layout/>
      <c:overlay val="0"/>
      <c:spPr>
        <a:noFill/>
        <a:ln w="25398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уч.год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"Отлично"</c:v>
                </c:pt>
                <c:pt idx="1">
                  <c:v>"Хорошо"</c:v>
                </c:pt>
                <c:pt idx="2">
                  <c:v>С одной "3"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0.17</c:v>
                </c:pt>
                <c:pt idx="2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уч.год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"Отлично"</c:v>
                </c:pt>
                <c:pt idx="1">
                  <c:v>"Хорошо"</c:v>
                </c:pt>
                <c:pt idx="2">
                  <c:v>С одной "3"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0.42</c:v>
                </c:pt>
                <c:pt idx="1">
                  <c:v>0.38</c:v>
                </c:pt>
                <c:pt idx="2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 уч.год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"Отлично"</c:v>
                </c:pt>
                <c:pt idx="1">
                  <c:v>"Хорошо"</c:v>
                </c:pt>
                <c:pt idx="2">
                  <c:v>С одной "3"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0.06</c:v>
                </c:pt>
                <c:pt idx="1">
                  <c:v>0.06</c:v>
                </c:pt>
                <c:pt idx="2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846456"/>
        <c:axId val="426847632"/>
        <c:axId val="0"/>
      </c:bar3DChart>
      <c:catAx>
        <c:axId val="426846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47632"/>
        <c:crosses val="autoZero"/>
        <c:auto val="1"/>
        <c:lblAlgn val="ctr"/>
        <c:lblOffset val="100"/>
        <c:noMultiLvlLbl val="0"/>
      </c:catAx>
      <c:valAx>
        <c:axId val="426847632"/>
        <c:scaling>
          <c:orientation val="minMax"/>
        </c:scaling>
        <c:delete val="1"/>
        <c:axPos val="l"/>
        <c:majorGridlines>
          <c:spPr>
            <a:ln w="9523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426846456"/>
        <c:crosses val="autoZero"/>
        <c:crossBetween val="between"/>
      </c:valAx>
      <c:spPr>
        <a:noFill/>
        <a:ln w="25398">
          <a:noFill/>
        </a:ln>
      </c:spPr>
    </c:plotArea>
    <c:legend>
      <c:legendPos val="b"/>
      <c:layout/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99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Основная школа</a:t>
            </a:r>
          </a:p>
        </c:rich>
      </c:tx>
      <c:layout/>
      <c:overlay val="0"/>
      <c:spPr>
        <a:noFill/>
        <a:ln w="25384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уч.год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 w="2538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"Отлично"</c:v>
                </c:pt>
                <c:pt idx="1">
                  <c:v>"Хорошо"</c:v>
                </c:pt>
                <c:pt idx="2">
                  <c:v>С одной "3"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4.0000000000000001E-3</c:v>
                </c:pt>
                <c:pt idx="1">
                  <c:v>4.0000000000000001E-3</c:v>
                </c:pt>
                <c:pt idx="2">
                  <c:v>1.2999999999999999E-2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уч.год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 w="2538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"Отлично"</c:v>
                </c:pt>
                <c:pt idx="1">
                  <c:v>"Хорошо"</c:v>
                </c:pt>
                <c:pt idx="2">
                  <c:v>С одной "3"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0.23</c:v>
                </c:pt>
                <c:pt idx="1">
                  <c:v>0.27</c:v>
                </c:pt>
                <c:pt idx="2">
                  <c:v>0.27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 уч.год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 w="2538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"Отлично"</c:v>
                </c:pt>
                <c:pt idx="1">
                  <c:v>"Хорошо"</c:v>
                </c:pt>
                <c:pt idx="2">
                  <c:v>С одной "3"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0.08</c:v>
                </c:pt>
                <c:pt idx="1">
                  <c:v>0.1</c:v>
                </c:pt>
                <c:pt idx="2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844104"/>
        <c:axId val="426846064"/>
        <c:axId val="0"/>
      </c:bar3DChart>
      <c:catAx>
        <c:axId val="426844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46064"/>
        <c:crosses val="autoZero"/>
        <c:auto val="1"/>
        <c:lblAlgn val="ctr"/>
        <c:lblOffset val="100"/>
        <c:noMultiLvlLbl val="0"/>
      </c:catAx>
      <c:valAx>
        <c:axId val="426846064"/>
        <c:scaling>
          <c:orientation val="minMax"/>
        </c:scaling>
        <c:delete val="1"/>
        <c:axPos val="l"/>
        <c:majorGridlines>
          <c:spPr>
            <a:ln w="9520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crossAx val="426844104"/>
        <c:crosses val="autoZero"/>
        <c:crossBetween val="between"/>
      </c:valAx>
      <c:spPr>
        <a:noFill/>
        <a:ln w="25385">
          <a:noFill/>
        </a:ln>
      </c:spPr>
    </c:plotArea>
    <c:legend>
      <c:legendPos val="b"/>
      <c:layout/>
      <c:overlay val="0"/>
      <c:spPr>
        <a:noFill/>
        <a:ln w="25384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/>
              <a:t>Уровень образования педагогических работников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Sheet1!$E$5:$E$6</c:f>
              <c:strCache>
                <c:ptCount val="2"/>
                <c:pt idx="0">
                  <c:v>высшее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Sheet1!$F$5:$F$6</c:f>
              <c:numCache>
                <c:formatCode>0%</c:formatCode>
                <c:ptCount val="2"/>
                <c:pt idx="0">
                  <c:v>0.93</c:v>
                </c:pt>
                <c:pt idx="1">
                  <c:v>7.0000000000000034E-2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Sheet1!$C$14</c:f>
              <c:strCache>
                <c:ptCount val="1"/>
                <c:pt idx="0">
                  <c:v>2018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472211286089249"/>
                  <c:y val="3.472203995333919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
</a:t>
                    </a:r>
                    <a:fld id="{B5889F66-0251-415B-8EAF-FEDBC30464B8}" type="PERCENTAGE">
                      <a:rPr lang="en-US" sz="1100" b="1" baseline="0"/>
                      <a:pPr>
                        <a:defRPr/>
                      </a:pPr>
                      <a:t>[ПРОЦЕНТ]</a:t>
                    </a:fld>
                    <a:endParaRPr lang="en-US" baseline="0"/>
                  </a:p>
                </c:rich>
              </c:tx>
              <c:spPr>
                <a:solidFill>
                  <a:sysClr val="window" lastClr="FFFFFF">
                    <a:alpha val="75000"/>
                  </a:sysClr>
                </a:solidFill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0250284339457566"/>
                      <c:h val="0.1407334499854184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75AC8B57-7899-457F-AC90-EC4B18506B5C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Sheet1!$B$15:$B$16</c:f>
              <c:strCache>
                <c:ptCount val="1"/>
                <c:pt idx="0">
                  <c:v>прошли курсыповышения квалификации</c:v>
                </c:pt>
              </c:strCache>
            </c:strRef>
          </c:cat>
          <c:val>
            <c:numRef>
              <c:f>Sheet1!$C$15:$C$16</c:f>
              <c:numCache>
                <c:formatCode>0%</c:formatCode>
                <c:ptCount val="2"/>
                <c:pt idx="0">
                  <c:v>0.36</c:v>
                </c:pt>
                <c:pt idx="1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0.175</cdr:x>
      <cdr:y>0.01563</cdr:y>
    </cdr:from>
    <cdr:to>
      <cdr:x>0.87083</cdr:x>
      <cdr:y>0.12674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00100" y="42863"/>
          <a:ext cx="31813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/>
            <a:t>Курсы</a:t>
          </a:r>
          <a:r>
            <a:rPr lang="ru-RU" sz="1400" baseline="0"/>
            <a:t> повышения квалификации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18748</CharactersWithSpaces>
  <SharedDoc>false</SharedDoc>
  <HLinks>
    <vt:vector size="18" baseType="variant">
      <vt:variant>
        <vt:i4>1441886</vt:i4>
      </vt:variant>
      <vt:variant>
        <vt:i4>12</vt:i4>
      </vt:variant>
      <vt:variant>
        <vt:i4>0</vt:i4>
      </vt:variant>
      <vt:variant>
        <vt:i4>5</vt:i4>
      </vt:variant>
      <vt:variant>
        <vt:lpwstr>http://sch.litres.ru/</vt:lpwstr>
      </vt:variant>
      <vt:variant>
        <vt:lpwstr/>
      </vt:variant>
      <vt:variant>
        <vt:i4>65628</vt:i4>
      </vt:variant>
      <vt:variant>
        <vt:i4>3</vt:i4>
      </vt:variant>
      <vt:variant>
        <vt:i4>0</vt:i4>
      </vt:variant>
      <vt:variant>
        <vt:i4>5</vt:i4>
      </vt:variant>
      <vt:variant>
        <vt:lpwstr>https://school66.edu.yar.ru/</vt:lpwstr>
      </vt:variant>
      <vt:variant>
        <vt:lpwstr/>
      </vt:variant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mailto:yarsch066@yandex.ru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2020-05-06T06:41:00Z</dcterms:created>
  <dcterms:modified xsi:type="dcterms:W3CDTF">2020-05-06T06:41:00Z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431981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